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591d8k.htm"/>
      <w:bookmarkStart w:id="1" w:name="ksd14859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Dine Brands Global,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40" w:type="dxa"/>
        <w:jc w:val="left"/>
        <w:tblInd w:w="0" w:type="dxa"/>
        <w:tblLayout w:type="fixed"/>
        <w:tblCellMar>
          <w:top w:w="0" w:type="dxa"/>
          <w:left w:w="0" w:type="dxa"/>
          <w:bottom w:w="0" w:type="dxa"/>
          <w:right w:w="0" w:type="dxa"/>
        </w:tblCellMar>
      </w:tblPr>
      <w:tblGrid>
        <w:gridCol w:w="2285"/>
        <w:gridCol w:w="60"/>
        <w:gridCol w:w="1055"/>
        <w:gridCol w:w="60"/>
        <w:gridCol w:w="188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001-15283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95-3038279</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5645"/>
        <w:gridCol w:w="60"/>
        <w:gridCol w:w="1145"/>
      </w:tblGrid>
      <w:tr>
        <w:trPr/>
        <w:tc>
          <w:tcPr>
            <w:tcW w:w="5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645" w:type="dxa"/>
            <w:tcBorders/>
            <w:vAlign w:val="center"/>
          </w:tcPr>
          <w:p>
            <w:pPr>
              <w:pStyle w:val="TableContents"/>
              <w:bidi w:val="0"/>
              <w:spacing w:before="0" w:after="283"/>
              <w:jc w:val="center"/>
              <w:rPr>
                <w:b/>
              </w:rPr>
            </w:pPr>
            <w:r>
              <w:rPr>
                <w:b/>
              </w:rPr>
              <w:t>10 West Walnut Street, 5th Floor, Pasadena,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91103</w:t>
            </w:r>
          </w:p>
        </w:tc>
      </w:tr>
      <w:tr>
        <w:trPr/>
        <w:tc>
          <w:tcPr>
            <w:tcW w:w="564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(818) 240-6055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3065"/>
        <w:gridCol w:w="60"/>
        <w:gridCol w:w="710"/>
        <w:gridCol w:w="60"/>
        <w:gridCol w:w="2660"/>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065"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DIN</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August 5, 2026, Dine Brands Global, Inc., a Delaware corporation (the “Corporation”), issued a press release announcing its second quarter 2026 financial results. A copy of the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Item 2.02, including the related information set forth in the press release attached hereto as Exhibit 99.1 and incorporated by reference herein, is being “furnished” and shall not be deemed “filed” for the purposes of Section 18 of the Securities Exchange Act of 1934, as amended (the “Exchange Act”), or otherwise.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0" w:after="0"/>
        <w:jc w:val="left"/>
        <w:rPr/>
      </w:pPr>
      <w:r>
        <w:rPr/>
        <w:t> </w:t>
      </w:r>
    </w:p>
    <w:tbl>
      <w:tblPr>
        <w:tblW w:w="1180" w:type="dxa"/>
        <w:jc w:val="left"/>
        <w:tblInd w:w="0" w:type="dxa"/>
        <w:tblLayout w:type="fixed"/>
        <w:tblCellMar>
          <w:top w:w="0" w:type="dxa"/>
          <w:left w:w="0" w:type="dxa"/>
          <w:bottom w:w="0" w:type="dxa"/>
          <w:right w:w="0" w:type="dxa"/>
        </w:tblCellMar>
      </w:tblPr>
      <w:tblGrid>
        <w:gridCol w:w="75"/>
        <w:gridCol w:w="290"/>
        <w:gridCol w:w="8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890"/>
        <w:gridCol w:w="120"/>
        <w:gridCol w:w="768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48591dex991.htm">
              <w:r>
                <w:rPr>
                  <w:rStyle w:val="InternetLink"/>
                </w:rPr>
                <w:t xml:space="preserve">Press Release issued by the Corporation on August 5,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587" w:type="dxa"/>
        <w:jc w:val="left"/>
        <w:tblInd w:w="0" w:type="dxa"/>
        <w:tblLayout w:type="fixed"/>
        <w:tblCellMar>
          <w:top w:w="0" w:type="dxa"/>
          <w:left w:w="0" w:type="dxa"/>
          <w:bottom w:w="0" w:type="dxa"/>
          <w:right w:w="0" w:type="dxa"/>
        </w:tblCellMar>
      </w:tblPr>
      <w:tblGrid>
        <w:gridCol w:w="651"/>
        <w:gridCol w:w="1027"/>
        <w:gridCol w:w="395"/>
        <w:gridCol w:w="60"/>
        <w:gridCol w:w="543"/>
        <w:gridCol w:w="89"/>
        <w:gridCol w:w="2822"/>
      </w:tblGrid>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vAlign w:val="center"/>
          </w:tcPr>
          <w:p>
            <w:pPr>
              <w:pStyle w:val="TableContents"/>
              <w:bidi w:val="0"/>
              <w:spacing w:before="0" w:after="283"/>
              <w:jc w:val="left"/>
              <w:rPr/>
            </w:pPr>
            <w:r>
              <w:rPr/>
              <w:t>Date: August 5, 2026</w:t>
            </w:r>
          </w:p>
        </w:tc>
        <w:tc>
          <w:tcPr>
            <w:tcW w:w="60" w:type="dxa"/>
            <w:tcBorders/>
            <w:vAlign w:val="center"/>
          </w:tcPr>
          <w:p>
            <w:pPr>
              <w:pStyle w:val="TableContents"/>
              <w:bidi w:val="0"/>
              <w:spacing w:before="0" w:after="283"/>
              <w:jc w:val="left"/>
              <w:rPr/>
            </w:pPr>
            <w:r>
              <w:rPr/>
              <w:t> </w:t>
            </w:r>
          </w:p>
        </w:tc>
        <w:tc>
          <w:tcPr>
            <w:tcW w:w="3454" w:type="dxa"/>
            <w:gridSpan w:val="3"/>
            <w:tcBorders/>
            <w:vAlign w:val="center"/>
          </w:tcPr>
          <w:p>
            <w:pPr>
              <w:pStyle w:val="TableContents"/>
              <w:bidi w:val="0"/>
              <w:spacing w:before="0" w:after="283"/>
              <w:jc w:val="left"/>
              <w:rPr>
                <w:b/>
              </w:rPr>
            </w:pPr>
            <w:r>
              <w:rPr>
                <w:b/>
              </w:rPr>
              <w:t>DINE BRANDS GLOBAL, INC.</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422" w:type="dxa"/>
            <w:gridSpan w:val="2"/>
            <w:tcBorders/>
            <w:vAlign w:val="center"/>
          </w:tcPr>
          <w:p>
            <w:pPr>
              <w:pStyle w:val="TableContents"/>
              <w:bidi w:val="0"/>
              <w:spacing w:before="0" w:after="283"/>
              <w:jc w:val="left"/>
              <w:rPr>
                <w:sz w:val="4"/>
                <w:szCs w:val="4"/>
              </w:rPr>
            </w:pPr>
            <w:r>
              <w:rPr>
                <w:sz w:val="4"/>
                <w:szCs w:val="4"/>
              </w:rPr>
            </w:r>
          </w:p>
        </w:tc>
        <w:tc>
          <w:tcPr>
            <w:tcW w:w="603" w:type="dxa"/>
            <w:gridSpan w:val="2"/>
            <w:tcBorders/>
            <w:vAlign w:val="center"/>
          </w:tcPr>
          <w:p>
            <w:pPr>
              <w:pStyle w:val="TableContents"/>
              <w:bidi w:val="0"/>
              <w:spacing w:before="0" w:after="283"/>
              <w:jc w:val="left"/>
              <w:rPr>
                <w:sz w:val="4"/>
                <w:szCs w:val="4"/>
              </w:rPr>
            </w:pPr>
            <w:r>
              <w:rPr>
                <w:sz w:val="4"/>
                <w:szCs w:val="4"/>
              </w:rPr>
            </w:r>
          </w:p>
        </w:tc>
        <w:tc>
          <w:tcPr>
            <w:tcW w:w="2911"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By:</w:t>
            </w:r>
          </w:p>
        </w:tc>
        <w:tc>
          <w:tcPr>
            <w:tcW w:w="89" w:type="dxa"/>
            <w:tcBorders/>
            <w:vAlign w:val="center"/>
          </w:tcPr>
          <w:p>
            <w:pPr>
              <w:pStyle w:val="TableContents"/>
              <w:bidi w:val="0"/>
              <w:spacing w:before="0" w:after="283"/>
              <w:jc w:val="left"/>
              <w:rPr/>
            </w:pPr>
            <w:r>
              <w:rPr/>
              <w:t> </w:t>
            </w:r>
          </w:p>
        </w:tc>
        <w:tc>
          <w:tcPr>
            <w:tcW w:w="282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Vance Y. Chang</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pPr>
            <w:r>
              <w:rPr/>
              <w:t> </w:t>
            </w:r>
          </w:p>
        </w:tc>
        <w:tc>
          <w:tcPr>
            <w:tcW w:w="28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Vance Y. Chang</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right"/>
        <w:rPr>
          <w:rFonts w:ascii="Times New Roman" w:hAnsi="Times New Roman"/>
          <w:b/>
          <w:sz w:val="20"/>
        </w:rPr>
      </w:pPr>
      <w:bookmarkStart w:id="2" w:name="d148591dex991.htm"/>
      <w:bookmarkStart w:id="3" w:name="ksd14859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229552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95525" cy="7048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News Release </w:t>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Investor Contact </w:t>
      </w:r>
    </w:p>
    <w:p>
      <w:pPr>
        <w:pStyle w:val="TextBody"/>
        <w:bidi w:val="0"/>
        <w:spacing w:before="0" w:after="0"/>
        <w:jc w:val="right"/>
        <w:rPr>
          <w:rFonts w:ascii="Times New Roman" w:hAnsi="Times New Roman"/>
          <w:sz w:val="20"/>
        </w:rPr>
      </w:pPr>
      <w:r>
        <w:rPr>
          <w:rFonts w:ascii="Times New Roman" w:hAnsi="Times New Roman"/>
          <w:sz w:val="20"/>
        </w:rPr>
        <w:t xml:space="preserve">Matt Lee </w:t>
      </w:r>
    </w:p>
    <w:p>
      <w:pPr>
        <w:pStyle w:val="TextBody"/>
        <w:bidi w:val="0"/>
        <w:spacing w:before="0" w:after="0"/>
        <w:jc w:val="right"/>
        <w:rPr>
          <w:rFonts w:ascii="Times New Roman" w:hAnsi="Times New Roman"/>
          <w:sz w:val="20"/>
        </w:rPr>
      </w:pPr>
      <w:r>
        <w:rPr>
          <w:rFonts w:ascii="Times New Roman" w:hAnsi="Times New Roman"/>
          <w:sz w:val="20"/>
        </w:rPr>
        <w:t xml:space="preserve">Sr. Vice President, Finance and Investor Relations </w:t>
      </w:r>
    </w:p>
    <w:p>
      <w:pPr>
        <w:pStyle w:val="TextBody"/>
        <w:bidi w:val="0"/>
        <w:spacing w:before="0" w:after="0"/>
        <w:jc w:val="right"/>
        <w:rPr>
          <w:rFonts w:ascii="Times New Roman" w:hAnsi="Times New Roman"/>
          <w:sz w:val="20"/>
        </w:rPr>
      </w:pPr>
      <w:r>
        <w:rPr>
          <w:rFonts w:ascii="Times New Roman" w:hAnsi="Times New Roman"/>
          <w:sz w:val="20"/>
        </w:rPr>
        <w:t xml:space="preserve">Dine Brands Global, Inc. </w:t>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IR@dinebrands.com </w:t>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Media Contact </w:t>
      </w:r>
    </w:p>
    <w:p>
      <w:pPr>
        <w:pStyle w:val="TextBody"/>
        <w:bidi w:val="0"/>
        <w:spacing w:before="0" w:after="0"/>
        <w:jc w:val="right"/>
        <w:rPr>
          <w:rFonts w:ascii="Times New Roman" w:hAnsi="Times New Roman"/>
          <w:sz w:val="20"/>
        </w:rPr>
      </w:pPr>
      <w:r>
        <w:rPr>
          <w:rFonts w:ascii="Times New Roman" w:hAnsi="Times New Roman"/>
          <w:sz w:val="20"/>
        </w:rPr>
        <w:t xml:space="preserve">Susan Nelson </w:t>
      </w:r>
    </w:p>
    <w:p>
      <w:pPr>
        <w:pStyle w:val="TextBody"/>
        <w:bidi w:val="0"/>
        <w:spacing w:before="0" w:after="0"/>
        <w:jc w:val="right"/>
        <w:rPr>
          <w:rFonts w:ascii="Times New Roman" w:hAnsi="Times New Roman"/>
          <w:sz w:val="20"/>
        </w:rPr>
      </w:pPr>
      <w:r>
        <w:rPr>
          <w:rFonts w:ascii="Times New Roman" w:hAnsi="Times New Roman"/>
          <w:sz w:val="20"/>
        </w:rPr>
        <w:t xml:space="preserve">Sr. Vice President, Global Communications </w:t>
      </w:r>
    </w:p>
    <w:p>
      <w:pPr>
        <w:pStyle w:val="TextBody"/>
        <w:bidi w:val="0"/>
        <w:spacing w:before="0" w:after="0"/>
        <w:jc w:val="right"/>
        <w:rPr>
          <w:rFonts w:ascii="Times New Roman" w:hAnsi="Times New Roman"/>
          <w:sz w:val="20"/>
        </w:rPr>
      </w:pPr>
      <w:r>
        <w:rPr>
          <w:rFonts w:ascii="Times New Roman" w:hAnsi="Times New Roman"/>
          <w:sz w:val="20"/>
        </w:rPr>
        <w:t xml:space="preserve">Dine Brands Global, Inc. </w:t>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Mediainquiries@dinebrands.com </w:t>
      </w:r>
    </w:p>
    <w:p>
      <w:pPr>
        <w:pStyle w:val="TextBody"/>
        <w:bidi w:val="0"/>
        <w:spacing w:before="240" w:after="0"/>
        <w:jc w:val="center"/>
        <w:rPr>
          <w:rFonts w:ascii="Times New Roman" w:hAnsi="Times New Roman"/>
          <w:b/>
          <w:sz w:val="20"/>
        </w:rPr>
      </w:pPr>
      <w:r>
        <w:rPr>
          <w:rFonts w:ascii="Times New Roman" w:hAnsi="Times New Roman"/>
          <w:b/>
          <w:sz w:val="20"/>
        </w:rPr>
        <w:t xml:space="preserve">Dine Brands Global, Inc. Reports Second Quarter 2026 Results </w:t>
      </w:r>
    </w:p>
    <w:p>
      <w:pPr>
        <w:pStyle w:val="TextBody"/>
        <w:bidi w:val="0"/>
        <w:spacing w:before="240" w:after="0"/>
        <w:jc w:val="left"/>
        <w:rPr>
          <w:rFonts w:ascii="Times New Roman" w:hAnsi="Times New Roman"/>
          <w:sz w:val="20"/>
        </w:rPr>
      </w:pPr>
      <w:r>
        <w:rPr>
          <w:rFonts w:ascii="Times New Roman" w:hAnsi="Times New Roman"/>
          <w:b/>
          <w:sz w:val="20"/>
        </w:rPr>
        <w:t>PASADENA, Calif., August</w:t>
      </w:r>
      <w:r>
        <w:rPr>
          <w:rFonts w:ascii="Times New Roman" w:hAnsi="Times New Roman"/>
          <w:sz w:val="20"/>
        </w:rPr>
        <w:t> </w:t>
      </w:r>
      <w:r>
        <w:rPr>
          <w:rFonts w:ascii="Times New Roman" w:hAnsi="Times New Roman"/>
          <w:b/>
          <w:sz w:val="20"/>
        </w:rPr>
        <w:t xml:space="preserve">5, 2026 </w:t>
      </w:r>
      <w:r>
        <w:rPr>
          <w:rFonts w:ascii="Times New Roman" w:hAnsi="Times New Roman"/>
          <w:sz w:val="20"/>
        </w:rPr>
        <w:t xml:space="preserve">– Dine Brands Global, Inc. (NYSE: DIN) (the “Company” or “Dine Brands”), the parent company of Applebee’s Neighborhood Grill + Bar®, IHOP® and Fuzzy’s Taco Shop® restaurants, today announced financial results for the second quarter of fiscal year 2026. </w:t>
      </w:r>
    </w:p>
    <w:p>
      <w:pPr>
        <w:pStyle w:val="TextBody"/>
        <w:bidi w:val="0"/>
        <w:spacing w:before="240" w:after="0"/>
        <w:jc w:val="left"/>
        <w:rPr/>
      </w:pPr>
      <w:r>
        <w:rPr/>
        <w:t>“</w:t>
      </w:r>
      <w:r>
        <w:rPr>
          <w:rFonts w:ascii="Times New Roman" w:hAnsi="Times New Roman"/>
          <w:sz w:val="20"/>
        </w:rPr>
        <w:t xml:space="preserve">In the second quarter, our brands made meaningful progress in an environment in which consumers remain focused on affordability and value, highlighted by IHOP’s third consecutive quarter of industry outperformance on both sales and traffic,” said John Peyton, Chief Executive Officer of Dine Brands. “Across all our brands, our everyday value platform, barbell marketing strategy, and continued investment in the guest experience are working, and we are entering the second half of the year with confidence in our long-term growth initiatives, including the continued expansion of our dual brand program.” </w:t>
      </w:r>
    </w:p>
    <w:p>
      <w:pPr>
        <w:pStyle w:val="TextBody"/>
        <w:bidi w:val="0"/>
        <w:spacing w:before="240" w:after="0"/>
        <w:jc w:val="left"/>
        <w:rPr>
          <w:rFonts w:ascii="Times New Roman" w:hAnsi="Times New Roman"/>
          <w:sz w:val="20"/>
        </w:rPr>
      </w:pPr>
      <w:r>
        <w:rPr>
          <w:rFonts w:ascii="Times New Roman" w:hAnsi="Times New Roman"/>
          <w:sz w:val="20"/>
        </w:rPr>
        <w:t xml:space="preserve">Vance Chang, Chief Financial Officer of Dine Brands, added, “Our asset-lite model continues to provide the financial flexibility to invest in our brands and we are encouraged by the positive momentum we are seeing across our growth initiatives. We remain committed to our capital allocation priorities and creating long-term value for shareholders.” </w:t>
      </w:r>
    </w:p>
    <w:p>
      <w:pPr>
        <w:pStyle w:val="TextBody"/>
        <w:bidi w:val="0"/>
        <w:spacing w:before="240" w:after="0"/>
        <w:jc w:val="left"/>
        <w:rPr>
          <w:rFonts w:ascii="Times New Roman" w:hAnsi="Times New Roman"/>
          <w:b/>
          <w:sz w:val="20"/>
        </w:rPr>
      </w:pPr>
      <w:r>
        <w:rPr>
          <w:rFonts w:ascii="Times New Roman" w:hAnsi="Times New Roman"/>
          <w:b/>
          <w:sz w:val="20"/>
        </w:rPr>
        <w:t xml:space="preserve">Domestic Restaurant Sales for the Second Quarter of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Applebee’s year-over-year comparable domestic same-restaurant sales decreased 1.8% for the second quarter of 2026. Off-premise sales accounted for 22.8% of sales mix in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IHOP’s year-over-year comparable domestic same-restaurant sales increased 1.5% for the second quarter of 2026. Off-premise sales accounted for 20.2% of sales mix in the second quarter of 2026.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1 of 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of 2026 Summary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revenues for the second quarter of 2026 were $240.9 million compared to $230.8 million for the second quarter of 2025. The increase was primarily driven by higher company-owned restaurant sales, mainly attributable to the increase in the number and timing of when we acquired restaurants from franchisees.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expenses for the second quarter of 2026 were $55.6 million compared to $50.8 million for the second quarter of 2025. The increase was driven by employee costs as we invest in our company-owned and dual-brand restaurant initiatives, reorganization costs, and transaction costs from the acquisition of company-owned restaurants.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available to common stockholders was $4.2 million, or earnings per diluted share of $0.35, for the second quarter of 2026 compared to net income available to common stockholders of $13.2 million, or earnings per diluted share of $0.89 for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Non-GAAP1 net income available to common stockholders, as adjusted, was $14.0 million, or adjusted earnings per diluted share of $1.16, for the second quarter of 2026, compared to net income available to common stockholders, as adjusted, of $17.4 million, or adjusted earnings per diluted share of $1.17, for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before income taxes for the second quarter of 2026 was $6.0 million compared to income before income taxes of $18.9 million for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EBITDA1 for the second quarter of 2026 was $54.2 million compared to $56.2 million for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activity by Applebee’s and IHOP for the second quarter of 2026 resulted in 13 new restaurant openings and 30 restaurant closures, which includes nine net dual-branded openings.2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First Six Months of 2026 Summary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revenues for the first six months of 2026 were $466.1 million compared to $445.5 million for the first six months of 2025. The increase was primarily driven by higher company-owned restaurant sales, mainly attributable to the increase in the number and timing of when we acquired restaurants from franchisees.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expenses for the first six months of 2026 were $108.7 million compared to $102.1 million for the first six months of 2025. The increase was driven by employee costs as we invest in our company-owned and dual-brand initiatives and incentive compensation due to higher expectations for the remainder of the year as compared to the prior year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available to common stockholders was $11.4 million, or earnings per diluted share of $0.92, for the first six months of 2026 compared to net income available to common stockholders of $21.1 million, or earnings per diluted share of $1.41 for the first six months of 2025.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“Non-GAAP Financial Measures” for a reconciliation of GAAP net income available to common stockholders to net income available to common stockholders, as adjusted, a reconciliation of GAAP diluted net income available to common stockholders per share to diluted net income available to common stockholders per share, as adjusted (also referred to as adjusted earnings per diluted share) and a reconciliation of GAAP net income to adjusted EBITDA.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activity is adjusted for the impact of company-owned restaurants acquired from franchisees. In the restaurant data table below, this activity is shown as franchise closed and company-owned opened.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2 of 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Non-GAAP3 net income available to common stockholders, as adjusted, was $25.1 million, or adjusted earnings per diluted share of $2.03, for the first six months of 2026, compared to net income available to common stockholders, as adjusted, of $32.8 million, or adjusted earnings per diluted share of $2.20, for the first six months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before income taxes for the first six months of 2026 was $16.1 million compared to income before income taxes of $31.7 million for the first six months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EBITDA3 for the first six months of 2026 was $105.0 million compared to $110.9 million for the first six months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flows provided by operating activities for the first six months of 2026 were $19.9 million. This compares to cash flows provided by operating activities of $53.1 million for the first six months of 2025. The decrease was primarily driven by timing of marketing spend, higher payments related to performance-based compensation and interest, as well as remodel and development incentives paid to our franchisees.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free cash flow4 was $3.7 million for the first six months of 2026. This compares to adjusted free cash flow of $48.7 million for the first six months of 2025. The decrease was primarily driven by a decrease in operating cash flows and an increase in capital expenditures as we invest in company-owned restaurants.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Effective Tax Rate </w:t>
      </w:r>
    </w:p>
    <w:p>
      <w:pPr>
        <w:pStyle w:val="TextBody"/>
        <w:bidi w:val="0"/>
        <w:spacing w:before="120" w:after="0"/>
        <w:jc w:val="left"/>
        <w:rPr>
          <w:rFonts w:ascii="Times New Roman" w:hAnsi="Times New Roman"/>
          <w:sz w:val="20"/>
        </w:rPr>
      </w:pPr>
      <w:r>
        <w:rPr>
          <w:rFonts w:ascii="Times New Roman" w:hAnsi="Times New Roman"/>
          <w:sz w:val="20"/>
        </w:rPr>
        <w:t xml:space="preserve">The Company’s effective tax rate was 27.7% for the six months ended June 28, 2026, as compared to 30.6% for the six months ended June 29, 2025. </w:t>
      </w:r>
    </w:p>
    <w:p>
      <w:pPr>
        <w:pStyle w:val="TextBody"/>
        <w:bidi w:val="0"/>
        <w:spacing w:before="360" w:after="0"/>
        <w:jc w:val="left"/>
        <w:rPr>
          <w:rFonts w:ascii="Times New Roman" w:hAnsi="Times New Roman"/>
          <w:b/>
          <w:sz w:val="20"/>
        </w:rPr>
      </w:pPr>
      <w:r>
        <w:rPr>
          <w:rFonts w:ascii="Times New Roman" w:hAnsi="Times New Roman"/>
          <w:b/>
          <w:sz w:val="20"/>
        </w:rPr>
        <w:t xml:space="preserve">Key Balance Sheet Metrics (as of June 28,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cash, cash equivalents and restricted cash of approximately $172.8 million, of which approximately $97.5 million was unrestricted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Available borrowing capacity under the 2025 Variable Funding Senior Notes, Class A-1 was approximately $224.5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Capital Returns to Equity Holders </w:t>
      </w:r>
    </w:p>
    <w:p>
      <w:pPr>
        <w:pStyle w:val="TextBody"/>
        <w:bidi w:val="0"/>
        <w:spacing w:before="120" w:after="0"/>
        <w:jc w:val="left"/>
        <w:rPr>
          <w:rFonts w:ascii="Times New Roman" w:hAnsi="Times New Roman"/>
          <w:sz w:val="20"/>
        </w:rPr>
      </w:pPr>
      <w:r>
        <w:rPr>
          <w:rFonts w:ascii="Times New Roman" w:hAnsi="Times New Roman"/>
          <w:sz w:val="20"/>
        </w:rPr>
        <w:t xml:space="preserve">During the second quarter of 2026, the Company repurchased approximately $7.4 million of its common stock and paid approximately $2.4 million in dividends. </w:t>
      </w:r>
    </w:p>
    <w:p>
      <w:pPr>
        <w:pStyle w:val="TextBody"/>
        <w:bidi w:val="0"/>
        <w:spacing w:before="240" w:after="0"/>
        <w:jc w:val="left"/>
        <w:rPr>
          <w:rFonts w:ascii="Times New Roman" w:hAnsi="Times New Roman"/>
          <w:sz w:val="20"/>
        </w:rPr>
      </w:pPr>
      <w:r>
        <w:rPr>
          <w:rFonts w:ascii="Times New Roman" w:hAnsi="Times New Roman"/>
          <w:sz w:val="20"/>
        </w:rPr>
        <w:t xml:space="preserve">On May 14, 2026, the Company’s Board of Directors approved a new share repurchase program of up to $100 million in addition to the existing share repurchase program, approved in February 2022. As of June 28, 2026, approximately $143.8 million is available for repurchases under existing share repurchase programs.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“Non-GAAP Financial Measures” for a reconciliation of GAAP net income available to common stockholders to net income available to common stockholders, as adjusted, a reconciliation of GAAP diluted net income available to common stockholders per share to diluted net income available to common stockholders per share, as adjusted (also referred to as adjusted earnings per diluted share) and a reconciliation of GAAP net income to adjusted EBITDA.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“Non-GAAP Financial Measures” for reconciliation of the Company’s cash flows provided by operating activities to adjusted free cash flow.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3 of 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Performance Guidance for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maintained its fiscal 2026 guidance.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of 2026 Earnings Conference Call Details </w:t>
      </w:r>
    </w:p>
    <w:p>
      <w:pPr>
        <w:pStyle w:val="TextBody"/>
        <w:bidi w:val="0"/>
        <w:spacing w:before="120" w:after="0"/>
        <w:jc w:val="left"/>
        <w:rPr>
          <w:rFonts w:ascii="Times New Roman" w:hAnsi="Times New Roman"/>
          <w:sz w:val="20"/>
        </w:rPr>
      </w:pPr>
      <w:r>
        <w:rPr>
          <w:rFonts w:ascii="Times New Roman" w:hAnsi="Times New Roman"/>
          <w:sz w:val="20"/>
        </w:rPr>
        <w:t xml:space="preserve">Dine Brands will host a conference call to discuss its results on </w:t>
      </w:r>
      <w:r>
        <w:rPr>
          <w:rFonts w:ascii="Times New Roman" w:hAnsi="Times New Roman"/>
          <w:b/>
          <w:sz w:val="20"/>
        </w:rPr>
        <w:t>August</w:t>
      </w:r>
      <w:r>
        <w:rPr>
          <w:rFonts w:ascii="Times New Roman" w:hAnsi="Times New Roman"/>
          <w:sz w:val="20"/>
        </w:rPr>
        <w:t> </w:t>
      </w:r>
      <w:r>
        <w:rPr>
          <w:rFonts w:ascii="Times New Roman" w:hAnsi="Times New Roman"/>
          <w:b/>
          <w:sz w:val="20"/>
        </w:rPr>
        <w:t>5, 2026, at</w:t>
      </w:r>
      <w:r>
        <w:rPr>
          <w:rFonts w:ascii="Times New Roman" w:hAnsi="Times New Roman"/>
          <w:sz w:val="20"/>
        </w:rPr>
        <w:t> </w:t>
      </w:r>
      <w:r>
        <w:rPr>
          <w:rFonts w:ascii="Times New Roman" w:hAnsi="Times New Roman"/>
          <w:b/>
          <w:sz w:val="20"/>
        </w:rPr>
        <w:t>11:00 a.m. Eastern time</w:t>
      </w:r>
      <w:r>
        <w:rPr>
          <w:rFonts w:ascii="Times New Roman" w:hAnsi="Times New Roman"/>
          <w:sz w:val="20"/>
        </w:rPr>
        <w:t xml:space="preserve">. A live webcast of the call, along with a replay will be available for a limited time at </w:t>
      </w:r>
      <w:r>
        <w:rPr>
          <w:rFonts w:ascii="Times New Roman" w:hAnsi="Times New Roman"/>
          <w:sz w:val="20"/>
          <w:u w:val="single"/>
        </w:rPr>
        <w:t>https://investors.dinebrands.com</w:t>
      </w:r>
      <w:r>
        <w:rPr>
          <w:rFonts w:ascii="Times New Roman" w:hAnsi="Times New Roman"/>
          <w:sz w:val="20"/>
        </w:rPr>
        <w:t xml:space="preserve">. Participants should allow approximately ten minutes prior to the call’s start time to visit the site and download any streaming media software needed to listen to the webcast. An online archive of the webcast will also be available on Events &amp; Presentations under the Investors section of the Company’s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About Dine Brands Global, Inc. </w:t>
      </w:r>
    </w:p>
    <w:p>
      <w:pPr>
        <w:pStyle w:val="TextBody"/>
        <w:bidi w:val="0"/>
        <w:spacing w:before="120" w:after="0"/>
        <w:jc w:val="left"/>
        <w:rPr>
          <w:rFonts w:ascii="Times New Roman" w:hAnsi="Times New Roman"/>
          <w:sz w:val="20"/>
        </w:rPr>
      </w:pPr>
      <w:r>
        <w:rPr>
          <w:rFonts w:ascii="Times New Roman" w:hAnsi="Times New Roman"/>
          <w:sz w:val="20"/>
        </w:rPr>
        <w:t xml:space="preserve">Based in Pasadena, California, Dine Brands Global, Inc. (NYSE: DIN), through its subsidiaries and franchisees, supports and operates restaurants under the Applebee’s Neighborhood Grill + Bar®, IHOP®, and Fuzzy’s Taco Shop® brands. As of June 28, 2026, these three brands comprised nearly 3,500 restaurants. Dine Brands is one of the largest full-service restaurant companies in the world and in 2022 expanded into the Fast Casual segment. For more information on Dine Brands, visit the Company’s website located at </w:t>
      </w:r>
      <w:r>
        <w:rPr>
          <w:rFonts w:ascii="Times New Roman" w:hAnsi="Times New Roman"/>
          <w:sz w:val="20"/>
          <w:u w:val="single"/>
        </w:rPr>
        <w:t>www.dinebrands.com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press release may constitute “forward-looking statements” within the meaning of Section 27A of the Securities Act of 1933, as amended, and Section 21E of the Securities Exchange Act of 1934, as amended. You can identify these forward-looking statements by words such as “may,” “will,” “would,” “should,” “could,” “expect,” “anticipate,” “believe,” “estimate,” “intend,” “plan,” “goal” and other similar expressions. 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on us and our franchisees directly; cost pressures, including rising costs for commodities, labor, health care and utilities;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shares;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4 of 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the implementation and use of artificial intelligence and related technologies;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or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Company’s Annual and Quarterly Reports on Forms 10-K and 10-Q and in the Company’s other filings with the Securities and Exchange Commission. The forward-looking statements contained in this press release are made as of the date hereof and the Company does not intend to, nor does it assume any obligation to, update or supplement any forward-looking statements after the date hereof to reflect actual results or future events or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references to the Company’s non-GAAP financial measures “adjusted net income available to common stockholders”, “adjusted earnings per diluted share (Adjusted EPS)”, “Adjusted EBITDA” and “Adjusted free cash flow.” Adjusted EPS is computed for a given period by deducting from net income or loss available to common stockholders for such period the effect of any closure and impairment charges, any intangible asset amortization, any non-cash interest expense, any gain or loss related to the disposition of assets, any gain or loss related to debt extinguishment, and other items deemed not reflective of current operations. This is presented on an aggregate basis and a per share (diluted) basis. Adjusted EBITDA is computed for a given period by deducting from net income or loss for such period the effect of any interest expense, any income tax provision or benefit, any depreciation and amortization, any non-cash stock-based compensation, any closure and impairment charges, any gain or loss related to debt extinguishment, any gain or loss related to the disposition of assets, and other items deemed not reflective of current operations. “Adjusted free cash flow” for a given period is defined as cash provided by operating activities, plus receipts from notes and equipment contracts receivable, less capital expenditures. Management may use certain of these non-GAAP financial measures along with the corresponding U.S. GAAP measures to evaluate the performance of the business and to make certain business decisions. Management uses adjusted free cash flow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 Management believes that these non-GAAP financial measures provide additional meaningful information that should be considered when assessing the business and the Company’s performance compared to prior periods and the marketplace. Adjusted EPS, adjusted EBITDA, and adjusted free cash flow are supplemental non-GAAP financial measures and should not be considered in isolation or as a substitute for measures of performance prepared in accordance with U.S. GAAP. </w:t>
      </w:r>
    </w:p>
    <w:p>
      <w:pPr>
        <w:pStyle w:val="TextBody"/>
        <w:bidi w:val="0"/>
        <w:spacing w:before="240" w:after="0"/>
        <w:jc w:val="left"/>
        <w:rPr>
          <w:rFonts w:ascii="Times New Roman" w:hAnsi="Times New Roman"/>
          <w:sz w:val="20"/>
        </w:rPr>
      </w:pPr>
      <w:r>
        <w:rPr>
          <w:rFonts w:ascii="Times New Roman" w:hAnsi="Times New Roman"/>
          <w:sz w:val="20"/>
        </w:rPr>
        <w:t xml:space="preserve">FBN-R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5 of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1"/>
        <w:gridCol w:w="223"/>
        <w:gridCol w:w="255"/>
        <w:gridCol w:w="1163"/>
        <w:gridCol w:w="194"/>
        <w:gridCol w:w="181"/>
        <w:gridCol w:w="255"/>
        <w:gridCol w:w="1163"/>
        <w:gridCol w:w="155"/>
        <w:gridCol w:w="167"/>
        <w:gridCol w:w="255"/>
        <w:gridCol w:w="1163"/>
        <w:gridCol w:w="155"/>
        <w:gridCol w:w="166"/>
        <w:gridCol w:w="255"/>
        <w:gridCol w:w="1163"/>
        <w:gridCol w:w="161"/>
      </w:tblGrid>
      <w:tr>
        <w:trPr/>
        <w:tc>
          <w:tcPr>
            <w:tcW w:w="3131"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2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31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1" w:type="dxa"/>
            <w:tcBorders/>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2026</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 2025</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 2025</w:t>
            </w:r>
          </w:p>
        </w:tc>
        <w:tc>
          <w:tcPr>
            <w:tcW w:w="161" w:type="dxa"/>
            <w:tcBorders/>
            <w:vAlign w:val="bottom"/>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Franchise revenues: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Royalties, franchise fees and other</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95.0</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101.2</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188.9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196.9</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Advertising revenues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71.9</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73.5</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143.0</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144.0</w:t>
            </w:r>
          </w:p>
        </w:tc>
        <w:tc>
          <w:tcPr>
            <w:tcW w:w="161" w:type="dxa"/>
            <w:tcBorders/>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franchise revenues</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166.9</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174.7</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331.9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340.9</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Company-owned restaurant revenues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47.3</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28.2</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80.7</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49.8</w:t>
            </w:r>
          </w:p>
        </w:tc>
        <w:tc>
          <w:tcPr>
            <w:tcW w:w="161" w:type="dxa"/>
            <w:tcBorders/>
            <w:vAlign w:val="bottom"/>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revenues</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26.7</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53.5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54.8</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240.9</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230.8</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466.1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445.5</w:t>
            </w:r>
          </w:p>
        </w:tc>
        <w:tc>
          <w:tcPr>
            <w:tcW w:w="161" w:type="dxa"/>
            <w:tcBorders/>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revenues:</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Franchise expenses: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Advertising expenses</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(71.9</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(73.5</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(143.0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(144.0</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Other franchise expenses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(8.8</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(12.9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(23.6</w:t>
            </w:r>
          </w:p>
        </w:tc>
        <w:tc>
          <w:tcPr>
            <w:tcW w:w="161" w:type="dxa"/>
            <w:tcBorders/>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franchise expenses</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(80.7</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(86.4</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(163.1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(167.6</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Company-owned restaurant expenses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(49.1</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(30.9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(84.0</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(52.9</w:t>
            </w:r>
          </w:p>
        </w:tc>
        <w:tc>
          <w:tcPr>
            <w:tcW w:w="161" w:type="dxa"/>
            <w:tcBorders/>
            <w:vAlign w:val="bottom"/>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expenses</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(19.9</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(21.3</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(40.5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(42.5</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revenues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(149.7</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(138.6</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(287.6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(263.0</w:t>
            </w:r>
          </w:p>
        </w:tc>
        <w:tc>
          <w:tcPr>
            <w:tcW w:w="161" w:type="dxa"/>
            <w:tcBorders/>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91.2</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92.2</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178.5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182.5</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(55.6</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(50.8</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(108.7</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(102.1</w:t>
            </w:r>
          </w:p>
        </w:tc>
        <w:tc>
          <w:tcPr>
            <w:tcW w:w="161" w:type="dxa"/>
            <w:tcBorders/>
            <w:vAlign w:val="bottom"/>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(22.0</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(17.7</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(43.8</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(35.5</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Closure and impairment charges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(4.0</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(7.0</w:t>
            </w:r>
          </w:p>
        </w:tc>
        <w:tc>
          <w:tcPr>
            <w:tcW w:w="161" w:type="dxa"/>
            <w:tcBorders/>
            <w:vAlign w:val="bottom"/>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(3.9</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(5.4</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(0.9</w:t>
            </w:r>
          </w:p>
        </w:tc>
        <w:tc>
          <w:tcPr>
            <w:tcW w:w="161" w:type="dxa"/>
            <w:tcBorders/>
            <w:vAlign w:val="bottom"/>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0.3</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0.1</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6.0</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31.7</w:t>
            </w:r>
          </w:p>
        </w:tc>
        <w:tc>
          <w:tcPr>
            <w:tcW w:w="161" w:type="dxa"/>
            <w:tcBorders/>
            <w:vAlign w:val="bottom"/>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(1.7</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(9.7</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4.3</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13.8</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22.0</w:t>
            </w:r>
          </w:p>
        </w:tc>
        <w:tc>
          <w:tcPr>
            <w:tcW w:w="161" w:type="dxa"/>
            <w:tcBorders/>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available to common stockholders:</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4.3</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13.8</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22.0</w:t>
            </w:r>
          </w:p>
        </w:tc>
        <w:tc>
          <w:tcPr>
            <w:tcW w:w="161" w:type="dxa"/>
            <w:tcBorders/>
            <w:vAlign w:val="bottom"/>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allocated to unvested restricted stock</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(0.1</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(0.9</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available to common stockholders</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4.2</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13.2</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21.1</w:t>
            </w:r>
          </w:p>
        </w:tc>
        <w:tc>
          <w:tcPr>
            <w:tcW w:w="161" w:type="dxa"/>
            <w:tcBorders/>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available to common stockholders per share:</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0.35</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0.89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0.94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63" w:type="dxa"/>
            <w:tcBorders/>
            <w:vAlign w:val="bottom"/>
          </w:tcPr>
          <w:p>
            <w:pPr>
              <w:pStyle w:val="TableContents"/>
              <w:bidi w:val="0"/>
              <w:spacing w:before="0" w:after="283"/>
              <w:jc w:val="right"/>
              <w:rPr/>
            </w:pPr>
            <w:r>
              <w:rPr/>
              <w:t>1.41</w:t>
            </w:r>
          </w:p>
        </w:tc>
        <w:tc>
          <w:tcPr>
            <w:tcW w:w="161" w:type="dxa"/>
            <w:tcBorders/>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0.35</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0.89</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0.92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1.41</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12.0</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14.9</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14.9</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12.1</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12.4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14.9</w:t>
            </w:r>
          </w:p>
        </w:tc>
        <w:tc>
          <w:tcPr>
            <w:tcW w:w="161" w:type="dxa"/>
            <w:tcBorders/>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net of tax:</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w:t>
            </w:r>
          </w:p>
        </w:tc>
        <w:tc>
          <w:tcPr>
            <w:tcW w:w="22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4.3</w:t>
            </w:r>
          </w:p>
        </w:tc>
        <w:tc>
          <w:tcPr>
            <w:tcW w:w="194"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13.8</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22.0</w:t>
            </w:r>
          </w:p>
        </w:tc>
        <w:tc>
          <w:tcPr>
            <w:tcW w:w="161" w:type="dxa"/>
            <w:tcBorders/>
            <w:shd w:fill="CCEEFF" w:val="clear"/>
            <w:vAlign w:val="bottom"/>
          </w:tcPr>
          <w:p>
            <w:pPr>
              <w:pStyle w:val="TableContents"/>
              <w:bidi w:val="0"/>
              <w:spacing w:before="0" w:after="283"/>
              <w:jc w:val="left"/>
              <w:rPr/>
            </w:pPr>
            <w:r>
              <w:rPr/>
              <w:t> </w:t>
            </w:r>
          </w:p>
        </w:tc>
      </w:tr>
      <w:tr>
        <w:trPr/>
        <w:tc>
          <w:tcPr>
            <w:tcW w:w="313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6 of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83"/>
        <w:gridCol w:w="398"/>
        <w:gridCol w:w="225"/>
        <w:gridCol w:w="1202"/>
        <w:gridCol w:w="155"/>
        <w:gridCol w:w="347"/>
        <w:gridCol w:w="326"/>
        <w:gridCol w:w="1711"/>
        <w:gridCol w:w="158"/>
      </w:tblGrid>
      <w:tr>
        <w:trPr/>
        <w:tc>
          <w:tcPr>
            <w:tcW w:w="5683"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83"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2026</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2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 2025</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center"/>
              <w:rPr>
                <w:rFonts w:ascii="Times New Roman" w:hAnsi="Times New Roman"/>
                <w:b/>
                <w:sz w:val="20"/>
              </w:rPr>
            </w:pPr>
            <w:r>
              <w:rPr>
                <w:rFonts w:ascii="Times New Roman" w:hAnsi="Times New Roman"/>
                <w:b/>
                <w:sz w:val="20"/>
              </w:rPr>
              <w:t>Assets</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71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71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97.5</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711" w:type="dxa"/>
            <w:tcBorders/>
            <w:shd w:fill="CCEEFF" w:val="clear"/>
            <w:vAlign w:val="bottom"/>
          </w:tcPr>
          <w:p>
            <w:pPr>
              <w:pStyle w:val="TableContents"/>
              <w:bidi w:val="0"/>
              <w:spacing w:before="0" w:after="283"/>
              <w:jc w:val="right"/>
              <w:rPr/>
            </w:pPr>
            <w:r>
              <w:rPr/>
              <w:t>128.2</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Receivables, net of allowance</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86.8</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119.0</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52.8</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51.5</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50.0</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49.0</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4.1</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289.4</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351.8</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524.0</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534.1</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427.5</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328.7</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249.6</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249.6</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173.4</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160.5</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receivables, net of allowance</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33.8</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Non-current restricted cash</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22.5</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22.0</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 net</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59.7</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57.1</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w:t>
            </w:r>
          </w:p>
        </w:tc>
        <w:tc>
          <w:tcPr>
            <w:tcW w:w="1202" w:type="dxa"/>
            <w:tcBorders/>
            <w:vAlign w:val="bottom"/>
          </w:tcPr>
          <w:p>
            <w:pPr>
              <w:pStyle w:val="TableContents"/>
              <w:bidi w:val="0"/>
              <w:spacing w:before="0" w:after="283"/>
              <w:jc w:val="right"/>
              <w:rPr/>
            </w:pPr>
            <w:r>
              <w:rPr/>
              <w:t>1,771.7</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711" w:type="dxa"/>
            <w:tcBorders/>
            <w:vAlign w:val="bottom"/>
          </w:tcPr>
          <w:p>
            <w:pPr>
              <w:pStyle w:val="TableContents"/>
              <w:bidi w:val="0"/>
              <w:spacing w:before="0" w:after="283"/>
              <w:jc w:val="right"/>
              <w:rPr/>
            </w:pPr>
            <w:r>
              <w:rPr/>
              <w:t>1,737.7</w:t>
            </w:r>
          </w:p>
        </w:tc>
        <w:tc>
          <w:tcPr>
            <w:tcW w:w="158" w:type="dxa"/>
            <w:tcBorders/>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171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center"/>
              <w:rPr>
                <w:rFonts w:ascii="Times New Roman" w:hAnsi="Times New Roman"/>
                <w:b/>
                <w:sz w:val="20"/>
              </w:rPr>
            </w:pPr>
            <w:r>
              <w:rPr>
                <w:rFonts w:ascii="Times New Roman" w:hAnsi="Times New Roman"/>
                <w:b/>
                <w:sz w:val="20"/>
              </w:rPr>
              <w:t>Liabilities and Stockholders’ Deficit</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71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71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other accrued liabilities</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87.6</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93.2</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158.1</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182.7</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leases obligations</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69.9</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67.6</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leases</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6.6</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payable</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2.5</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 payable</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7.3</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franchise revenue, short-term</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5.6</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337.0</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365.6</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1,189.5</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1,188.2</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obligations, less current portion</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394.1</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305.3</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obligations, less current portion</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29.4</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32.2</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51.2</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franchise revenue, long-term</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32.3</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34.2</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35.0</w:t>
            </w:r>
          </w:p>
        </w:tc>
        <w:tc>
          <w:tcPr>
            <w:tcW w:w="158" w:type="dxa"/>
            <w:tcBorders/>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2,063.7</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2,011.5</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71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0.2</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paid-in-capital</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224.0</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239.9</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181.9</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175.1</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(0.1</w:t>
            </w:r>
          </w:p>
        </w:tc>
        <w:tc>
          <w:tcPr>
            <w:tcW w:w="158"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at cost</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(698.0</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bidi w:val="0"/>
              <w:spacing w:before="0" w:after="283"/>
              <w:jc w:val="right"/>
              <w:rPr/>
            </w:pPr>
            <w:r>
              <w:rPr/>
              <w:t>(689.1</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(292.0</w:t>
            </w:r>
          </w:p>
        </w:tc>
        <w:tc>
          <w:tcPr>
            <w:tcW w:w="15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11" w:type="dxa"/>
            <w:tcBorders/>
            <w:vAlign w:val="bottom"/>
          </w:tcPr>
          <w:p>
            <w:pPr>
              <w:pStyle w:val="TableContents"/>
              <w:bidi w:val="0"/>
              <w:spacing w:before="0" w:after="283"/>
              <w:jc w:val="right"/>
              <w:rPr/>
            </w:pPr>
            <w:r>
              <w:rPr/>
              <w:t>(273.9</w:t>
            </w:r>
          </w:p>
        </w:tc>
        <w:tc>
          <w:tcPr>
            <w:tcW w:w="158" w:type="dxa"/>
            <w:tcBorders/>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71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deficit</w:t>
            </w:r>
          </w:p>
        </w:tc>
        <w:tc>
          <w:tcPr>
            <w:tcW w:w="398"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1,771.7</w:t>
            </w:r>
          </w:p>
        </w:tc>
        <w:tc>
          <w:tcPr>
            <w:tcW w:w="15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w:t>
            </w:r>
          </w:p>
        </w:tc>
        <w:tc>
          <w:tcPr>
            <w:tcW w:w="1711" w:type="dxa"/>
            <w:tcBorders/>
            <w:shd w:fill="CCEEFF" w:val="clear"/>
            <w:vAlign w:val="bottom"/>
          </w:tcPr>
          <w:p>
            <w:pPr>
              <w:pStyle w:val="TableContents"/>
              <w:bidi w:val="0"/>
              <w:spacing w:before="0" w:after="283"/>
              <w:jc w:val="right"/>
              <w:rPr/>
            </w:pPr>
            <w:r>
              <w:rPr/>
              <w:t>1,737.7</w:t>
            </w:r>
          </w:p>
        </w:tc>
        <w:tc>
          <w:tcPr>
            <w:tcW w:w="158"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171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7 of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3"/>
        <w:gridCol w:w="358"/>
        <w:gridCol w:w="283"/>
        <w:gridCol w:w="1151"/>
        <w:gridCol w:w="155"/>
        <w:gridCol w:w="307"/>
        <w:gridCol w:w="255"/>
        <w:gridCol w:w="1175"/>
        <w:gridCol w:w="158"/>
      </w:tblGrid>
      <w:tr>
        <w:trPr/>
        <w:tc>
          <w:tcPr>
            <w:tcW w:w="6363"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3"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33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8"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2026</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 2025</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75" w:type="dxa"/>
            <w:tcBorders/>
            <w:vAlign w:val="bottom"/>
          </w:tcPr>
          <w:p>
            <w:pPr>
              <w:pStyle w:val="TableContents"/>
              <w:bidi w:val="0"/>
              <w:spacing w:before="0" w:after="283"/>
              <w:jc w:val="right"/>
              <w:rPr/>
            </w:pPr>
            <w:r>
              <w:rPr/>
              <w:t>22.0</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cash flows provided by operating activities: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20.8</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impairment and closure charges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7.0</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Non-cash stock-based compensation expense</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6.6</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1.8</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0.9</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(4.2</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doubtful accounts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3.2</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(0.1</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(6.0</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4.7</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changes in other assets and liabilities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(2.2</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Gift cards receivables and payables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0.8</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other accrued expenses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(12.2</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8.9</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assets and liabilities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(7.1</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 payable</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(1.4</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(2.6</w:t>
            </w:r>
          </w:p>
        </w:tc>
        <w:tc>
          <w:tcPr>
            <w:tcW w:w="158"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provided by operating activities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53.1</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receipts from notes, equipment contracts and other long-term receivables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7.0</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4.9</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property and equipment</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(23.2</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(9.3</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long-term receivables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(1.9</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net of cash acquired</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0.9</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intangible assets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(0.7</w:t>
            </w:r>
          </w:p>
        </w:tc>
        <w:tc>
          <w:tcPr>
            <w:tcW w:w="158"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used in investing activities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(9.0</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(5.1</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revolving line of credit</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revolving line of credit</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 from long-term debt</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600.0</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long-term debt</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(594.0</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debt issuance costs</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(11.6</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paid on common stock</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(15.8</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common stock</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(7.6</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Principal payments on finance lease and financing obligations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(2.5</w:t>
            </w:r>
          </w:p>
        </w:tc>
        <w:tc>
          <w:tcPr>
            <w:tcW w:w="158" w:type="dxa"/>
            <w:tcBorders/>
            <w:vAlign w:val="bottom"/>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restricted stock for tax payments upon vesting</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(1.8</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used in financing activities</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(39.8</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(33.3</w:t>
            </w:r>
          </w:p>
        </w:tc>
        <w:tc>
          <w:tcPr>
            <w:tcW w:w="158"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(28.9</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14.7</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201.7</w:t>
            </w:r>
          </w:p>
        </w:tc>
        <w:tc>
          <w:tcPr>
            <w:tcW w:w="15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248.6</w:t>
            </w:r>
          </w:p>
        </w:tc>
        <w:tc>
          <w:tcPr>
            <w:tcW w:w="158" w:type="dxa"/>
            <w:tcBorders/>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35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172.8</w:t>
            </w:r>
          </w:p>
        </w:tc>
        <w:tc>
          <w:tcPr>
            <w:tcW w:w="15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263.3</w:t>
            </w:r>
          </w:p>
        </w:tc>
        <w:tc>
          <w:tcPr>
            <w:tcW w:w="158" w:type="dxa"/>
            <w:tcBorders/>
            <w:shd w:fill="CCEEFF" w:val="clear"/>
            <w:vAlign w:val="bottom"/>
          </w:tcPr>
          <w:p>
            <w:pPr>
              <w:pStyle w:val="TableContents"/>
              <w:bidi w:val="0"/>
              <w:spacing w:before="0" w:after="283"/>
              <w:jc w:val="left"/>
              <w:rPr/>
            </w:pPr>
            <w:r>
              <w:rPr/>
              <w:t> </w:t>
            </w:r>
          </w:p>
        </w:tc>
      </w:tr>
      <w:tr>
        <w:trPr/>
        <w:tc>
          <w:tcPr>
            <w:tcW w:w="63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8 of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sz w:val="20"/>
        </w:rPr>
      </w:pPr>
      <w:r>
        <w:rPr>
          <w:rFonts w:ascii="Times New Roman" w:hAnsi="Times New Roman"/>
          <w:sz w:val="20"/>
        </w:rPr>
        <w:t xml:space="preserve">Reconciliation of net income available to common stockholders to net income available to common stockholders, as adjusted for the following items: Closure and impairment charges; amortization of intangible assets; non-cash interest expenses; gain or loss on disposition of assets; loss on extinguishment of debt; reorganization costs; company preopening and transition costs; other EBITDA adjustments; and the combined tax effect of the preceding adjustments, as well as related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35"/>
        <w:gridCol w:w="239"/>
        <w:gridCol w:w="301"/>
        <w:gridCol w:w="1116"/>
        <w:gridCol w:w="224"/>
        <w:gridCol w:w="206"/>
        <w:gridCol w:w="300"/>
        <w:gridCol w:w="1117"/>
        <w:gridCol w:w="155"/>
        <w:gridCol w:w="181"/>
        <w:gridCol w:w="302"/>
        <w:gridCol w:w="1115"/>
        <w:gridCol w:w="155"/>
        <w:gridCol w:w="182"/>
        <w:gridCol w:w="302"/>
        <w:gridCol w:w="1115"/>
        <w:gridCol w:w="160"/>
      </w:tblGrid>
      <w:tr>
        <w:trPr/>
        <w:tc>
          <w:tcPr>
            <w:tcW w:w="3035"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5"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32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1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0" w:type="dxa"/>
            <w:tcBorders/>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2026</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 2025</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2026</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 2025</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available to common stockholders</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4.2</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13.2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21.1</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tcPr>
          <w:p>
            <w:pPr>
              <w:pStyle w:val="TableContents"/>
              <w:bidi w:val="0"/>
              <w:spacing w:before="0" w:after="0"/>
              <w:jc w:val="left"/>
              <w:rPr>
                <w:rFonts w:ascii="Times New Roman" w:hAnsi="Times New Roman"/>
                <w:sz w:val="20"/>
              </w:rPr>
            </w:pPr>
            <w:r>
              <w:rPr>
                <w:rFonts w:ascii="Times New Roman" w:hAnsi="Times New Roman"/>
                <w:sz w:val="20"/>
              </w:rPr>
              <w:t>Closure and impairment charges</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4.0</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7.0</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3.9</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5.4</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0.9</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1.8</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(0.3</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(0.1</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0.9</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Reorganization costs</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1.8</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tcPr>
          <w:p>
            <w:pPr>
              <w:pStyle w:val="TableContents"/>
              <w:bidi w:val="0"/>
              <w:spacing w:before="0" w:after="0"/>
              <w:jc w:val="left"/>
              <w:rPr>
                <w:rFonts w:ascii="Times New Roman" w:hAnsi="Times New Roman"/>
                <w:sz w:val="20"/>
              </w:rPr>
            </w:pPr>
            <w:r>
              <w:rPr>
                <w:rFonts w:ascii="Times New Roman" w:hAnsi="Times New Roman"/>
                <w:sz w:val="20"/>
              </w:rPr>
              <w:t>Company-owned restaurants preopening expenses</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1.3</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EBITDA adjustments</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1.7</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0.4</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tax effect of above adjustments</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(3.5</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(4.7</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(4.3</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allocated to unvested restricted stock</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(0.5</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available to common stockholders, as adjusted</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1116" w:type="dxa"/>
            <w:tcBorders/>
            <w:vAlign w:val="bottom"/>
          </w:tcPr>
          <w:p>
            <w:pPr>
              <w:pStyle w:val="TableContents"/>
              <w:bidi w:val="0"/>
              <w:spacing w:before="0" w:after="283"/>
              <w:jc w:val="right"/>
              <w:rPr>
                <w:b/>
              </w:rPr>
            </w:pPr>
            <w:r>
              <w:rPr>
                <w:b/>
              </w:rPr>
              <w:t>14.0</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b/>
              </w:rPr>
            </w:pPr>
            <w:r>
              <w:rPr>
                <w:b/>
              </w:rPr>
              <w:t>$</w:t>
            </w:r>
          </w:p>
        </w:tc>
        <w:tc>
          <w:tcPr>
            <w:tcW w:w="1117" w:type="dxa"/>
            <w:tcBorders/>
            <w:vAlign w:val="bottom"/>
          </w:tcPr>
          <w:p>
            <w:pPr>
              <w:pStyle w:val="TableContents"/>
              <w:bidi w:val="0"/>
              <w:spacing w:before="0" w:after="283"/>
              <w:jc w:val="right"/>
              <w:rPr>
                <w:b/>
              </w:rPr>
            </w:pPr>
            <w:r>
              <w:rPr>
                <w:b/>
              </w:rPr>
              <w:t>17.4</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25.1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32.8</w:t>
            </w:r>
          </w:p>
        </w:tc>
        <w:tc>
          <w:tcPr>
            <w:tcW w:w="160" w:type="dxa"/>
            <w:tcBorders/>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net income available to common stockholders per share (a):</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03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available to common stockholders</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0.35</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117" w:type="dxa"/>
            <w:tcBorders/>
            <w:vAlign w:val="bottom"/>
          </w:tcPr>
          <w:p>
            <w:pPr>
              <w:pStyle w:val="TableContents"/>
              <w:bidi w:val="0"/>
              <w:spacing w:before="0" w:after="283"/>
              <w:jc w:val="right"/>
              <w:rPr/>
            </w:pPr>
            <w:r>
              <w:rPr/>
              <w:t>0.89</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0.92</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1.41</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Closure and impairment charges</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0.24</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0.06</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0.29</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0.35</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0.24</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0.13</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0.45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0.27</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0.06</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0.05</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0.09</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(0.02</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0.04</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0.04</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tcPr>
          <w:p>
            <w:pPr>
              <w:pStyle w:val="TableContents"/>
              <w:bidi w:val="0"/>
              <w:spacing w:before="0" w:after="0"/>
              <w:jc w:val="left"/>
              <w:rPr>
                <w:rFonts w:ascii="Times New Roman" w:hAnsi="Times New Roman"/>
                <w:sz w:val="20"/>
              </w:rPr>
            </w:pPr>
            <w:r>
              <w:rPr>
                <w:rFonts w:ascii="Times New Roman" w:hAnsi="Times New Roman"/>
                <w:sz w:val="20"/>
              </w:rPr>
              <w:t>Reorganization costs</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0.11</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0.11</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0.05</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Company-owned restaurants preopening expenses</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0.08</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tcPr>
          <w:p>
            <w:pPr>
              <w:pStyle w:val="TableContents"/>
              <w:bidi w:val="0"/>
              <w:spacing w:before="0" w:after="0"/>
              <w:jc w:val="left"/>
              <w:rPr>
                <w:rFonts w:ascii="Times New Roman" w:hAnsi="Times New Roman"/>
                <w:sz w:val="20"/>
              </w:rPr>
            </w:pPr>
            <w:r>
              <w:rPr>
                <w:rFonts w:ascii="Times New Roman" w:hAnsi="Times New Roman"/>
                <w:sz w:val="20"/>
              </w:rPr>
              <w:t>Other EBITDA adjustments</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0.10</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0.02</w:t>
            </w:r>
          </w:p>
        </w:tc>
        <w:tc>
          <w:tcPr>
            <w:tcW w:w="160" w:type="dxa"/>
            <w:tcBorders/>
            <w:vAlign w:val="bottom"/>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allocated to unvested restricted stock</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(0.03</w:t>
            </w:r>
          </w:p>
        </w:tc>
        <w:tc>
          <w:tcPr>
            <w:tcW w:w="160" w:type="dxa"/>
            <w:tcBorders/>
            <w:shd w:fill="CCEEFF" w:val="clear"/>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available to common stockholders per share, as adjusted</w:t>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1116" w:type="dxa"/>
            <w:tcBorders/>
            <w:vAlign w:val="bottom"/>
          </w:tcPr>
          <w:p>
            <w:pPr>
              <w:pStyle w:val="TableContents"/>
              <w:bidi w:val="0"/>
              <w:spacing w:before="0" w:after="283"/>
              <w:jc w:val="right"/>
              <w:rPr>
                <w:b/>
              </w:rPr>
            </w:pPr>
            <w:r>
              <w:rPr>
                <w:b/>
              </w:rPr>
              <w:t>1.16</w:t>
            </w:r>
          </w:p>
        </w:tc>
        <w:tc>
          <w:tcPr>
            <w:tcW w:w="224"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b/>
              </w:rPr>
            </w:pPr>
            <w:r>
              <w:rPr>
                <w:b/>
              </w:rPr>
              <w:t>$</w:t>
            </w:r>
          </w:p>
        </w:tc>
        <w:tc>
          <w:tcPr>
            <w:tcW w:w="1117" w:type="dxa"/>
            <w:tcBorders/>
            <w:vAlign w:val="bottom"/>
          </w:tcPr>
          <w:p>
            <w:pPr>
              <w:pStyle w:val="TableContents"/>
              <w:bidi w:val="0"/>
              <w:spacing w:before="0" w:after="283"/>
              <w:jc w:val="right"/>
              <w:rPr>
                <w:b/>
              </w:rPr>
            </w:pPr>
            <w:r>
              <w:rPr>
                <w:b/>
              </w:rPr>
              <w:t>1.17</w:t>
            </w:r>
          </w:p>
        </w:tc>
        <w:tc>
          <w:tcPr>
            <w:tcW w:w="15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2.03</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b/>
              </w:rPr>
            </w:pPr>
            <w:r>
              <w:rPr>
                <w:b/>
              </w:rPr>
              <w:t>$</w:t>
            </w:r>
          </w:p>
        </w:tc>
        <w:tc>
          <w:tcPr>
            <w:tcW w:w="1115" w:type="dxa"/>
            <w:tcBorders/>
            <w:vAlign w:val="bottom"/>
          </w:tcPr>
          <w:p>
            <w:pPr>
              <w:pStyle w:val="TableContents"/>
              <w:bidi w:val="0"/>
              <w:spacing w:before="0" w:after="283"/>
              <w:jc w:val="right"/>
              <w:rPr>
                <w:b/>
              </w:rPr>
            </w:pPr>
            <w:r>
              <w:rPr>
                <w:b/>
              </w:rPr>
              <w:t>2.20</w:t>
            </w:r>
          </w:p>
        </w:tc>
        <w:tc>
          <w:tcPr>
            <w:tcW w:w="160" w:type="dxa"/>
            <w:tcBorders/>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0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 Diluted</w:t>
            </w:r>
          </w:p>
        </w:tc>
        <w:tc>
          <w:tcPr>
            <w:tcW w:w="239"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12.1</w:t>
            </w:r>
          </w:p>
        </w:tc>
        <w:tc>
          <w:tcPr>
            <w:tcW w:w="224"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14.9</w:t>
            </w:r>
          </w:p>
        </w:tc>
        <w:tc>
          <w:tcPr>
            <w:tcW w:w="15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14.9</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Earnings per share impact of the adjustments to net income available to common stockholders is presented on an after-tax basis using a 26% tax rate.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9 of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sz w:val="20"/>
        </w:rPr>
      </w:pPr>
      <w:r>
        <w:rPr>
          <w:rFonts w:ascii="Times New Roman" w:hAnsi="Times New Roman"/>
          <w:sz w:val="20"/>
        </w:rPr>
        <w:t xml:space="preserve">Reconciliation of the Company’s cash flows provided by operating activities to “adjusted free cash flow” (cash flows provided by operating activities, plus receipts from notes and equipment contracts receivable, less additions to property and equipment). Management uses this liquidity measure in its periodic assessments of, among other things, the amount of cash dividends per share of common stock and the amount of repurchases of common stock. We believe it is important for investors to have the same measure used by management for that purpose. Adjusted free cash flow does not represent residual cash flow available for discretionary purposes.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65"/>
        <w:gridCol w:w="424"/>
        <w:gridCol w:w="302"/>
        <w:gridCol w:w="1114"/>
        <w:gridCol w:w="155"/>
        <w:gridCol w:w="371"/>
        <w:gridCol w:w="302"/>
        <w:gridCol w:w="1114"/>
        <w:gridCol w:w="158"/>
      </w:tblGrid>
      <w:tr>
        <w:trPr/>
        <w:tc>
          <w:tcPr>
            <w:tcW w:w="6265"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6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33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58" w:type="dxa"/>
            <w:tcBorders/>
            <w:vAlign w:val="bottom"/>
          </w:tcPr>
          <w:p>
            <w:pPr>
              <w:pStyle w:val="TableContents"/>
              <w:bidi w:val="0"/>
              <w:spacing w:before="0" w:after="283"/>
              <w:jc w:val="left"/>
              <w:rPr/>
            </w:pPr>
            <w:r>
              <w:rPr/>
              <w:t> </w:t>
            </w:r>
          </w:p>
        </w:tc>
      </w:tr>
      <w:tr>
        <w:trPr/>
        <w:tc>
          <w:tcPr>
            <w:tcW w:w="626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2026</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 2025</w:t>
            </w:r>
          </w:p>
        </w:tc>
        <w:tc>
          <w:tcPr>
            <w:tcW w:w="158" w:type="dxa"/>
            <w:tcBorders/>
            <w:vAlign w:val="bottom"/>
          </w:tcPr>
          <w:p>
            <w:pPr>
              <w:pStyle w:val="TableContents"/>
              <w:bidi w:val="0"/>
              <w:spacing w:before="0" w:after="283"/>
              <w:jc w:val="left"/>
              <w:rPr/>
            </w:pPr>
            <w:r>
              <w:rPr/>
              <w:t> </w:t>
            </w:r>
          </w:p>
        </w:tc>
      </w:tr>
      <w:tr>
        <w:trPr/>
        <w:tc>
          <w:tcPr>
            <w:tcW w:w="626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3358" w:type="dxa"/>
            <w:gridSpan w:val="6"/>
            <w:tcBorders/>
            <w:vAlign w:val="bottom"/>
          </w:tcPr>
          <w:p>
            <w:pPr>
              <w:pStyle w:val="TableContents"/>
              <w:bidi w:val="0"/>
              <w:spacing w:before="0" w:after="283"/>
              <w:jc w:val="center"/>
              <w:rPr>
                <w:b/>
              </w:rPr>
            </w:pPr>
            <w:r>
              <w:rPr>
                <w:b/>
              </w:rPr>
              <w:t>(In millions)</w:t>
            </w:r>
          </w:p>
        </w:tc>
        <w:tc>
          <w:tcPr>
            <w:tcW w:w="158" w:type="dxa"/>
            <w:tcBorders/>
            <w:vAlign w:val="bottom"/>
          </w:tcPr>
          <w:p>
            <w:pPr>
              <w:pStyle w:val="TableContents"/>
              <w:bidi w:val="0"/>
              <w:spacing w:before="0" w:after="283"/>
              <w:jc w:val="left"/>
              <w:rPr/>
            </w:pPr>
            <w:r>
              <w:rPr/>
              <w:t> </w:t>
            </w:r>
          </w:p>
        </w:tc>
      </w:tr>
      <w:tr>
        <w:trPr/>
        <w:tc>
          <w:tcPr>
            <w:tcW w:w="6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provided by operating activities</w:t>
            </w:r>
          </w:p>
        </w:tc>
        <w:tc>
          <w:tcPr>
            <w:tcW w:w="424"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53.1</w:t>
            </w:r>
          </w:p>
        </w:tc>
        <w:tc>
          <w:tcPr>
            <w:tcW w:w="158" w:type="dxa"/>
            <w:tcBorders/>
            <w:shd w:fill="CCEEFF" w:val="clear"/>
            <w:vAlign w:val="bottom"/>
          </w:tcPr>
          <w:p>
            <w:pPr>
              <w:pStyle w:val="TableContents"/>
              <w:bidi w:val="0"/>
              <w:spacing w:before="0" w:after="283"/>
              <w:jc w:val="left"/>
              <w:rPr/>
            </w:pPr>
            <w:r>
              <w:rPr/>
              <w:t> </w:t>
            </w:r>
          </w:p>
        </w:tc>
      </w:tr>
      <w:tr>
        <w:trPr/>
        <w:tc>
          <w:tcPr>
            <w:tcW w:w="6265" w:type="dxa"/>
            <w:tcBorders/>
          </w:tcPr>
          <w:p>
            <w:pPr>
              <w:pStyle w:val="TableContents"/>
              <w:bidi w:val="0"/>
              <w:spacing w:before="0" w:after="0"/>
              <w:jc w:val="left"/>
              <w:rPr>
                <w:rFonts w:ascii="Times New Roman" w:hAnsi="Times New Roman"/>
                <w:sz w:val="20"/>
              </w:rPr>
            </w:pPr>
            <w:r>
              <w:rPr>
                <w:rFonts w:ascii="Times New Roman" w:hAnsi="Times New Roman"/>
                <w:sz w:val="20"/>
              </w:rPr>
              <w:t>Net receipts from notes and equipment receivables</w:t>
            </w:r>
          </w:p>
        </w:tc>
        <w:tc>
          <w:tcPr>
            <w:tcW w:w="424"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4.9</w:t>
            </w:r>
          </w:p>
        </w:tc>
        <w:tc>
          <w:tcPr>
            <w:tcW w:w="158" w:type="dxa"/>
            <w:tcBorders/>
            <w:vAlign w:val="bottom"/>
          </w:tcPr>
          <w:p>
            <w:pPr>
              <w:pStyle w:val="TableContents"/>
              <w:bidi w:val="0"/>
              <w:spacing w:before="0" w:after="283"/>
              <w:jc w:val="left"/>
              <w:rPr/>
            </w:pPr>
            <w:r>
              <w:rPr/>
              <w:t> </w:t>
            </w:r>
          </w:p>
        </w:tc>
      </w:tr>
      <w:tr>
        <w:trPr/>
        <w:tc>
          <w:tcPr>
            <w:tcW w:w="6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property and equipment</w:t>
            </w:r>
          </w:p>
        </w:tc>
        <w:tc>
          <w:tcPr>
            <w:tcW w:w="424"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(23.2</w:t>
            </w:r>
          </w:p>
        </w:tc>
        <w:tc>
          <w:tcPr>
            <w:tcW w:w="155"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(9.3</w:t>
            </w:r>
          </w:p>
        </w:tc>
        <w:tc>
          <w:tcPr>
            <w:tcW w:w="158" w:type="dxa"/>
            <w:tcBorders/>
            <w:shd w:fill="CCEEFF" w:val="clear"/>
            <w:vAlign w:val="bottom"/>
          </w:tcPr>
          <w:p>
            <w:pPr>
              <w:pStyle w:val="TableContents"/>
              <w:bidi w:val="0"/>
              <w:spacing w:before="0" w:after="283"/>
              <w:jc w:val="left"/>
              <w:rPr/>
            </w:pPr>
            <w:r>
              <w:rPr/>
              <w:t>) </w:t>
            </w:r>
          </w:p>
        </w:tc>
      </w:tr>
      <w:tr>
        <w:trPr/>
        <w:tc>
          <w:tcPr>
            <w:tcW w:w="6265"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free cash flow</w:t>
            </w:r>
          </w:p>
        </w:tc>
        <w:tc>
          <w:tcPr>
            <w:tcW w:w="424"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b/>
              </w:rPr>
            </w:pPr>
            <w:r>
              <w:rPr>
                <w:b/>
              </w:rPr>
              <w:t>3.7</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b/>
              </w:rPr>
            </w:pPr>
            <w:r>
              <w:rPr>
                <w:b/>
              </w:rPr>
              <w:t>48.7</w:t>
            </w:r>
          </w:p>
        </w:tc>
        <w:tc>
          <w:tcPr>
            <w:tcW w:w="158" w:type="dxa"/>
            <w:tcBorders/>
            <w:vAlign w:val="bottom"/>
          </w:tcPr>
          <w:p>
            <w:pPr>
              <w:pStyle w:val="TableContents"/>
              <w:bidi w:val="0"/>
              <w:spacing w:before="0" w:after="283"/>
              <w:jc w:val="left"/>
              <w:rPr/>
            </w:pPr>
            <w:r>
              <w:rPr/>
              <w:t> </w:t>
            </w:r>
          </w:p>
        </w:tc>
      </w:tr>
      <w:tr>
        <w:trPr>
          <w:trHeight w:val="240" w:hRule="atLeast"/>
        </w:trPr>
        <w:tc>
          <w:tcPr>
            <w:tcW w:w="6265" w:type="dxa"/>
            <w:tcBorders/>
            <w:vAlign w:val="center"/>
          </w:tcPr>
          <w:p>
            <w:pPr>
              <w:pStyle w:val="TableContents"/>
              <w:bidi w:val="0"/>
              <w:spacing w:before="0" w:after="283"/>
              <w:jc w:val="left"/>
              <w:rPr>
                <w:sz w:val="4"/>
                <w:szCs w:val="4"/>
              </w:rPr>
            </w:pPr>
            <w:r>
              <w:rPr>
                <w:sz w:val="4"/>
                <w:szCs w:val="4"/>
              </w:rPr>
            </w:r>
          </w:p>
        </w:tc>
        <w:tc>
          <w:tcPr>
            <w:tcW w:w="1995" w:type="dxa"/>
            <w:gridSpan w:val="4"/>
            <w:tcBorders/>
            <w:vAlign w:val="center"/>
          </w:tcPr>
          <w:p>
            <w:pPr>
              <w:pStyle w:val="TableContents"/>
              <w:bidi w:val="0"/>
              <w:spacing w:before="0" w:after="283"/>
              <w:jc w:val="left"/>
              <w:rPr>
                <w:sz w:val="4"/>
                <w:szCs w:val="4"/>
              </w:rPr>
            </w:pPr>
            <w:r>
              <w:rPr>
                <w:sz w:val="4"/>
                <w:szCs w:val="4"/>
              </w:rPr>
            </w:r>
          </w:p>
        </w:tc>
        <w:tc>
          <w:tcPr>
            <w:tcW w:w="1945" w:type="dxa"/>
            <w:gridSpan w:val="4"/>
            <w:tcBorders/>
            <w:vAlign w:val="center"/>
          </w:tcPr>
          <w:p>
            <w:pPr>
              <w:pStyle w:val="TableContents"/>
              <w:bidi w:val="0"/>
              <w:spacing w:before="0" w:after="283"/>
              <w:jc w:val="left"/>
              <w:rPr>
                <w:sz w:val="4"/>
                <w:szCs w:val="4"/>
              </w:rPr>
            </w:pPr>
            <w:r>
              <w:rPr>
                <w:sz w:val="4"/>
                <w:szCs w:val="4"/>
              </w:rPr>
            </w:r>
          </w:p>
        </w:tc>
      </w:tr>
      <w:tr>
        <w:trPr/>
        <w:tc>
          <w:tcPr>
            <w:tcW w:w="626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2026</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 2025</w:t>
            </w:r>
          </w:p>
        </w:tc>
        <w:tc>
          <w:tcPr>
            <w:tcW w:w="158" w:type="dxa"/>
            <w:tcBorders/>
            <w:vAlign w:val="bottom"/>
          </w:tcPr>
          <w:p>
            <w:pPr>
              <w:pStyle w:val="TableContents"/>
              <w:bidi w:val="0"/>
              <w:spacing w:before="0" w:after="283"/>
              <w:jc w:val="left"/>
              <w:rPr/>
            </w:pPr>
            <w:r>
              <w:rPr/>
              <w:t> </w:t>
            </w:r>
          </w:p>
        </w:tc>
      </w:tr>
      <w:tr>
        <w:trPr/>
        <w:tc>
          <w:tcPr>
            <w:tcW w:w="62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424"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65"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paid on common stock</w:t>
            </w:r>
          </w:p>
        </w:tc>
        <w:tc>
          <w:tcPr>
            <w:tcW w:w="424"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(15.8</w:t>
            </w:r>
          </w:p>
        </w:tc>
        <w:tc>
          <w:tcPr>
            <w:tcW w:w="158" w:type="dxa"/>
            <w:tcBorders/>
            <w:vAlign w:val="bottom"/>
          </w:tcPr>
          <w:p>
            <w:pPr>
              <w:pStyle w:val="TableContents"/>
              <w:bidi w:val="0"/>
              <w:spacing w:before="0" w:after="283"/>
              <w:jc w:val="left"/>
              <w:rPr/>
            </w:pPr>
            <w:r>
              <w:rPr/>
              <w:t>) </w:t>
            </w:r>
          </w:p>
        </w:tc>
      </w:tr>
      <w:tr>
        <w:trPr/>
        <w:tc>
          <w:tcPr>
            <w:tcW w:w="6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common stock</w:t>
            </w:r>
          </w:p>
        </w:tc>
        <w:tc>
          <w:tcPr>
            <w:tcW w:w="424"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(7.6</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10 of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sz w:val="20"/>
        </w:rPr>
      </w:pPr>
      <w:r>
        <w:rPr>
          <w:rFonts w:ascii="Times New Roman" w:hAnsi="Times New Roman"/>
          <w:sz w:val="20"/>
        </w:rPr>
        <w:t xml:space="preserve">Reconciliation of the Company’s net income to “adjusted EBITDA.” The Company defines adjusted EBITDA as net income or loss, adjusted for the effect of interest expense, income tax provision or benefit, depreciation and amortization, non-cash stock-based compensation, closure and impairment charges, loss on extinguishment of debt, gain or loss on disposition of assets, reorganization costs, company preopening and transition costs, and other items deemed not reflective of current operations. Management may use certain non-GAAP measures along with the corresponding U.S. GAAP measures to evaluate the performance of the Company and to make certain business decisions.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8"/>
        <w:gridCol w:w="250"/>
        <w:gridCol w:w="341"/>
        <w:gridCol w:w="1077"/>
        <w:gridCol w:w="155"/>
        <w:gridCol w:w="193"/>
        <w:gridCol w:w="341"/>
        <w:gridCol w:w="1077"/>
        <w:gridCol w:w="60"/>
        <w:gridCol w:w="250"/>
        <w:gridCol w:w="283"/>
        <w:gridCol w:w="1159"/>
        <w:gridCol w:w="154"/>
        <w:gridCol w:w="193"/>
        <w:gridCol w:w="283"/>
        <w:gridCol w:w="1159"/>
        <w:gridCol w:w="162"/>
      </w:tblGrid>
      <w:tr>
        <w:trPr/>
        <w:tc>
          <w:tcPr>
            <w:tcW w:w="306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1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32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2" w:type="dxa"/>
            <w:tcBorders/>
            <w:vAlign w:val="bottom"/>
          </w:tcPr>
          <w:p>
            <w:pPr>
              <w:pStyle w:val="TableContents"/>
              <w:bidi w:val="0"/>
              <w:spacing w:before="0" w:after="283"/>
              <w:jc w:val="left"/>
              <w:rPr/>
            </w:pPr>
            <w:r>
              <w:rPr/>
              <w:t> </w:t>
            </w:r>
          </w:p>
        </w:tc>
      </w:tr>
      <w:tr>
        <w:trPr/>
        <w:tc>
          <w:tcPr>
            <w:tcW w:w="30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 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2026</w:t>
            </w:r>
          </w:p>
        </w:tc>
        <w:tc>
          <w:tcPr>
            <w:tcW w:w="1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 2025</w:t>
            </w:r>
          </w:p>
        </w:tc>
        <w:tc>
          <w:tcPr>
            <w:tcW w:w="162" w:type="dxa"/>
            <w:tcBorders/>
            <w:vAlign w:val="bottom"/>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as reported</w:t>
            </w:r>
          </w:p>
        </w:tc>
        <w:tc>
          <w:tcPr>
            <w:tcW w:w="25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11.7</w:t>
            </w:r>
          </w:p>
        </w:tc>
        <w:tc>
          <w:tcPr>
            <w:tcW w:w="15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22.0</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Interest charges on finance leases</w:t>
            </w:r>
          </w:p>
        </w:tc>
        <w:tc>
          <w:tcPr>
            <w:tcW w:w="25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0.7</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1.2</w:t>
            </w:r>
          </w:p>
        </w:tc>
        <w:tc>
          <w:tcPr>
            <w:tcW w:w="1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1.4</w:t>
            </w:r>
          </w:p>
        </w:tc>
        <w:tc>
          <w:tcPr>
            <w:tcW w:w="162" w:type="dxa"/>
            <w:tcBorders/>
            <w:vAlign w:val="bottom"/>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other interest charges</w:t>
            </w:r>
          </w:p>
        </w:tc>
        <w:tc>
          <w:tcPr>
            <w:tcW w:w="25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23.8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20.4</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47.4</w:t>
            </w:r>
          </w:p>
        </w:tc>
        <w:tc>
          <w:tcPr>
            <w:tcW w:w="15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41.1</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5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4.5</w:t>
            </w:r>
          </w:p>
        </w:tc>
        <w:tc>
          <w:tcPr>
            <w:tcW w:w="1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9.7</w:t>
            </w:r>
          </w:p>
        </w:tc>
        <w:tc>
          <w:tcPr>
            <w:tcW w:w="162" w:type="dxa"/>
            <w:tcBorders/>
            <w:vAlign w:val="bottom"/>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5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23.8</w:t>
            </w:r>
          </w:p>
        </w:tc>
        <w:tc>
          <w:tcPr>
            <w:tcW w:w="15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20.8</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Non-cash stock-based compensation</w:t>
            </w:r>
          </w:p>
        </w:tc>
        <w:tc>
          <w:tcPr>
            <w:tcW w:w="25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7.5</w:t>
            </w:r>
          </w:p>
        </w:tc>
        <w:tc>
          <w:tcPr>
            <w:tcW w:w="1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6.6</w:t>
            </w:r>
          </w:p>
        </w:tc>
        <w:tc>
          <w:tcPr>
            <w:tcW w:w="162" w:type="dxa"/>
            <w:tcBorders/>
            <w:vAlign w:val="bottom"/>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Closure and impairment charges</w:t>
            </w:r>
          </w:p>
        </w:tc>
        <w:tc>
          <w:tcPr>
            <w:tcW w:w="25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4.8</w:t>
            </w:r>
          </w:p>
        </w:tc>
        <w:tc>
          <w:tcPr>
            <w:tcW w:w="15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7.0</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5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0.9</w:t>
            </w:r>
          </w:p>
        </w:tc>
        <w:tc>
          <w:tcPr>
            <w:tcW w:w="162" w:type="dxa"/>
            <w:tcBorders/>
            <w:vAlign w:val="bottom"/>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disposition of assets</w:t>
            </w:r>
          </w:p>
        </w:tc>
        <w:tc>
          <w:tcPr>
            <w:tcW w:w="25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(2.5</w:t>
            </w:r>
          </w:p>
        </w:tc>
        <w:tc>
          <w:tcPr>
            <w:tcW w:w="15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(0.1</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Reorganization costs</w:t>
            </w:r>
          </w:p>
        </w:tc>
        <w:tc>
          <w:tcPr>
            <w:tcW w:w="25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1.8</w:t>
            </w:r>
          </w:p>
        </w:tc>
        <w:tc>
          <w:tcPr>
            <w:tcW w:w="1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1.1</w:t>
            </w:r>
          </w:p>
        </w:tc>
        <w:tc>
          <w:tcPr>
            <w:tcW w:w="162" w:type="dxa"/>
            <w:tcBorders/>
            <w:vAlign w:val="bottom"/>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Company-owned restaurants preopening expenses</w:t>
            </w:r>
          </w:p>
        </w:tc>
        <w:tc>
          <w:tcPr>
            <w:tcW w:w="25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2.5</w:t>
            </w:r>
          </w:p>
        </w:tc>
        <w:tc>
          <w:tcPr>
            <w:tcW w:w="15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5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2.3</w:t>
            </w:r>
          </w:p>
        </w:tc>
        <w:tc>
          <w:tcPr>
            <w:tcW w:w="15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0.4</w:t>
            </w:r>
          </w:p>
        </w:tc>
        <w:tc>
          <w:tcPr>
            <w:tcW w:w="162" w:type="dxa"/>
            <w:tcBorders/>
            <w:vAlign w:val="bottom"/>
          </w:tcPr>
          <w:p>
            <w:pPr>
              <w:pStyle w:val="TableContents"/>
              <w:bidi w:val="0"/>
              <w:spacing w:before="0" w:after="283"/>
              <w:jc w:val="left"/>
              <w:rPr/>
            </w:pPr>
            <w:r>
              <w:rPr/>
              <w:t> </w:t>
            </w:r>
          </w:p>
        </w:tc>
      </w:tr>
      <w:tr>
        <w:trPr/>
        <w:tc>
          <w:tcPr>
            <w:tcW w:w="306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5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54.2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56.2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105.0</w:t>
            </w:r>
          </w:p>
        </w:tc>
        <w:tc>
          <w:tcPr>
            <w:tcW w:w="15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110.9</w:t>
            </w:r>
          </w:p>
        </w:tc>
        <w:tc>
          <w:tcPr>
            <w:tcW w:w="162" w:type="dxa"/>
            <w:tcBorders/>
            <w:shd w:fill="CCEEFF" w:val="clear"/>
            <w:vAlign w:val="bottom"/>
          </w:tcPr>
          <w:p>
            <w:pPr>
              <w:pStyle w:val="TableContents"/>
              <w:bidi w:val="0"/>
              <w:spacing w:before="0" w:after="283"/>
              <w:jc w:val="left"/>
              <w:rPr/>
            </w:pPr>
            <w:r>
              <w:rPr/>
              <w:t> </w:t>
            </w:r>
          </w:p>
        </w:tc>
      </w:tr>
      <w:tr>
        <w:trPr/>
        <w:tc>
          <w:tcPr>
            <w:tcW w:w="306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59"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5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11 of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Restaurant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revenues, cost of revenues, and gross profit in evaluating the performance of each of our brands, management also considers the following key performance indicators in evaluating our business: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5"/>
        <w:gridCol w:w="144"/>
        <w:gridCol w:w="178"/>
        <w:gridCol w:w="716"/>
        <w:gridCol w:w="351"/>
        <w:gridCol w:w="102"/>
        <w:gridCol w:w="178"/>
        <w:gridCol w:w="718"/>
        <w:gridCol w:w="351"/>
        <w:gridCol w:w="87"/>
        <w:gridCol w:w="140"/>
        <w:gridCol w:w="742"/>
        <w:gridCol w:w="351"/>
        <w:gridCol w:w="87"/>
        <w:gridCol w:w="140"/>
        <w:gridCol w:w="742"/>
        <w:gridCol w:w="275"/>
        <w:gridCol w:w="87"/>
        <w:gridCol w:w="211"/>
        <w:gridCol w:w="668"/>
        <w:gridCol w:w="387"/>
        <w:gridCol w:w="110"/>
        <w:gridCol w:w="196"/>
        <w:gridCol w:w="728"/>
        <w:gridCol w:w="361"/>
      </w:tblGrid>
      <w:tr>
        <w:trPr/>
        <w:tc>
          <w:tcPr>
            <w:tcW w:w="2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2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IHOP</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Applebee’s</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3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Fuzzy’s</w:t>
            </w:r>
          </w:p>
        </w:tc>
        <w:tc>
          <w:tcPr>
            <w:tcW w:w="361" w:type="dxa"/>
            <w:tcBorders/>
            <w:vAlign w:val="bottom"/>
          </w:tcPr>
          <w:p>
            <w:pPr>
              <w:pStyle w:val="TableContents"/>
              <w:bidi w:val="0"/>
              <w:spacing w:before="0" w:after="283"/>
              <w:jc w:val="left"/>
              <w:rPr/>
            </w:pPr>
            <w:r>
              <w:rPr/>
              <w:t> </w:t>
            </w:r>
          </w:p>
        </w:tc>
      </w:tr>
      <w:tr>
        <w:trPr/>
        <w:tc>
          <w:tcPr>
            <w:tcW w:w="2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2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3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361" w:type="dxa"/>
            <w:tcBorders/>
            <w:vAlign w:val="bottom"/>
          </w:tcPr>
          <w:p>
            <w:pPr>
              <w:pStyle w:val="TableContents"/>
              <w:bidi w:val="0"/>
              <w:spacing w:before="0" w:after="283"/>
              <w:jc w:val="left"/>
              <w:rPr/>
            </w:pPr>
            <w:r>
              <w:rPr/>
              <w:t> </w:t>
            </w:r>
          </w:p>
        </w:tc>
      </w:tr>
      <w:tr>
        <w:trPr/>
        <w:tc>
          <w:tcPr>
            <w:tcW w:w="2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2026</w:t>
            </w:r>
          </w:p>
        </w:tc>
        <w:tc>
          <w:tcPr>
            <w:tcW w:w="35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pPr>
            <w:r>
              <w:rPr>
                <w:b/>
              </w:rPr>
              <w:t>June 29,</w:t>
            </w:r>
            <w:r>
              <w:rPr/>
              <w:br/>
            </w:r>
            <w:r>
              <w:rPr>
                <w:b/>
              </w:rPr>
              <w:t>2025</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2026</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b/>
              </w:rPr>
              <w:t>June 29,</w:t>
            </w:r>
            <w:r>
              <w:rPr/>
              <w:br/>
            </w:r>
            <w:r>
              <w:rPr>
                <w:b/>
              </w:rPr>
              <w:t>2025</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2026</w:t>
            </w:r>
          </w:p>
        </w:tc>
        <w:tc>
          <w:tcPr>
            <w:tcW w:w="38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924" w:type="dxa"/>
            <w:gridSpan w:val="2"/>
            <w:tcBorders>
              <w:bottom w:val="single" w:sz="8" w:space="0" w:color="000000"/>
            </w:tcBorders>
            <w:tcMar>
              <w:bottom w:w="28" w:type="dxa"/>
            </w:tcMar>
            <w:vAlign w:val="bottom"/>
          </w:tcPr>
          <w:p>
            <w:pPr>
              <w:pStyle w:val="TableContents"/>
              <w:bidi w:val="0"/>
              <w:spacing w:before="0" w:after="283"/>
              <w:jc w:val="center"/>
              <w:rPr/>
            </w:pPr>
            <w:r>
              <w:rPr>
                <w:b/>
              </w:rPr>
              <w:t>June 29,</w:t>
            </w:r>
            <w:r>
              <w:rPr/>
              <w:br/>
            </w:r>
            <w:r>
              <w:rPr>
                <w:b/>
              </w:rPr>
              <w:t>2025</w:t>
            </w:r>
          </w:p>
        </w:tc>
        <w:tc>
          <w:tcPr>
            <w:tcW w:w="361" w:type="dxa"/>
            <w:tcBorders/>
            <w:vAlign w:val="bottom"/>
          </w:tcPr>
          <w:p>
            <w:pPr>
              <w:pStyle w:val="TableContents"/>
              <w:bidi w:val="0"/>
              <w:spacing w:before="0" w:after="283"/>
              <w:jc w:val="left"/>
              <w:rPr/>
            </w:pPr>
            <w:r>
              <w:rPr/>
              <w:t> </w:t>
            </w:r>
          </w:p>
        </w:tc>
      </w:tr>
      <w:tr>
        <w:trPr/>
        <w:tc>
          <w:tcPr>
            <w:tcW w:w="21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System Sales (in millions)</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8"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155" w:type="dxa"/>
            <w:tcBorders/>
          </w:tcPr>
          <w:p>
            <w:pPr>
              <w:pStyle w:val="TableContents"/>
              <w:bidi w:val="0"/>
              <w:spacing w:before="0" w:after="0"/>
              <w:jc w:val="left"/>
              <w:rPr>
                <w:rFonts w:ascii="Times New Roman" w:hAnsi="Times New Roman"/>
                <w:sz w:val="20"/>
              </w:rPr>
            </w:pPr>
            <w:r>
              <w:rPr>
                <w:rFonts w:ascii="Times New Roman" w:hAnsi="Times New Roman"/>
                <w:sz w:val="20"/>
              </w:rPr>
              <w:t>Franchise</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887.6</w:t>
            </w:r>
          </w:p>
        </w:tc>
        <w:tc>
          <w:tcPr>
            <w:tcW w:w="35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8" w:type="dxa"/>
            <w:tcBorders/>
            <w:vAlign w:val="bottom"/>
          </w:tcPr>
          <w:p>
            <w:pPr>
              <w:pStyle w:val="TableContents"/>
              <w:bidi w:val="0"/>
              <w:spacing w:before="0" w:after="283"/>
              <w:jc w:val="right"/>
              <w:rPr/>
            </w:pPr>
            <w:r>
              <w:rPr/>
              <w:t>872.4</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1,055.2</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1,105.0</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40.7</w:t>
            </w:r>
          </w:p>
        </w:tc>
        <w:tc>
          <w:tcPr>
            <w:tcW w:w="38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43.1</w:t>
            </w:r>
          </w:p>
        </w:tc>
        <w:tc>
          <w:tcPr>
            <w:tcW w:w="361" w:type="dxa"/>
            <w:tcBorders/>
            <w:vAlign w:val="bottom"/>
          </w:tcPr>
          <w:p>
            <w:pPr>
              <w:pStyle w:val="TableContents"/>
              <w:bidi w:val="0"/>
              <w:spacing w:before="0" w:after="283"/>
              <w:jc w:val="left"/>
              <w:rPr/>
            </w:pPr>
            <w:r>
              <w:rPr/>
              <w:t> </w:t>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5.0</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4.0</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42.0</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24.0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0.3</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0.2</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387"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15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892.6</w:t>
            </w:r>
          </w:p>
        </w:tc>
        <w:tc>
          <w:tcPr>
            <w:tcW w:w="35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18" w:type="dxa"/>
            <w:tcBorders/>
            <w:vAlign w:val="bottom"/>
          </w:tcPr>
          <w:p>
            <w:pPr>
              <w:pStyle w:val="TableContents"/>
              <w:bidi w:val="0"/>
              <w:spacing w:before="0" w:after="283"/>
              <w:jc w:val="right"/>
              <w:rPr/>
            </w:pPr>
            <w:r>
              <w:rPr/>
              <w:t>876.4</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1,097.2</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1,129.0</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41.0</w:t>
            </w:r>
          </w:p>
        </w:tc>
        <w:tc>
          <w:tcPr>
            <w:tcW w:w="38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43.3</w:t>
            </w:r>
          </w:p>
        </w:tc>
        <w:tc>
          <w:tcPr>
            <w:tcW w:w="361" w:type="dxa"/>
            <w:tcBorders/>
            <w:vAlign w:val="bottom"/>
          </w:tcPr>
          <w:p>
            <w:pPr>
              <w:pStyle w:val="TableContents"/>
              <w:bidi w:val="0"/>
              <w:spacing w:before="0" w:after="283"/>
              <w:jc w:val="left"/>
              <w:rPr/>
            </w:pPr>
            <w:r>
              <w:rPr/>
              <w:t> </w:t>
            </w:r>
          </w:p>
        </w:tc>
      </w:tr>
      <w:tr>
        <w:trPr/>
        <w:tc>
          <w:tcPr>
            <w:tcW w:w="2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387"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1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System:</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8"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155" w:type="dxa"/>
            <w:tcBorders/>
          </w:tcPr>
          <w:p>
            <w:pPr>
              <w:pStyle w:val="TableContents"/>
              <w:bidi w:val="0"/>
              <w:spacing w:before="0" w:after="0"/>
              <w:jc w:val="left"/>
              <w:rPr>
                <w:rFonts w:ascii="Times New Roman" w:hAnsi="Times New Roman"/>
                <w:sz w:val="20"/>
              </w:rPr>
            </w:pPr>
            <w:r>
              <w:rPr>
                <w:rFonts w:ascii="Times New Roman" w:hAnsi="Times New Roman"/>
                <w:sz w:val="20"/>
              </w:rPr>
              <w:t>Domestic same-restaurant sales change</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1.5</w:t>
            </w:r>
          </w:p>
        </w:tc>
        <w:tc>
          <w:tcPr>
            <w:tcW w:w="35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(2.3</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(1.8</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4.6</w:t>
            </w:r>
          </w:p>
        </w:tc>
        <w:tc>
          <w:tcPr>
            <w:tcW w:w="38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(11.8</w:t>
            </w:r>
          </w:p>
        </w:tc>
        <w:tc>
          <w:tcPr>
            <w:tcW w:w="361" w:type="dxa"/>
            <w:tcBorders/>
            <w:vAlign w:val="bottom"/>
          </w:tcPr>
          <w:p>
            <w:pPr>
              <w:pStyle w:val="TableContents"/>
              <w:bidi w:val="0"/>
              <w:spacing w:before="0" w:after="283"/>
              <w:jc w:val="left"/>
              <w:rPr/>
            </w:pPr>
            <w:r>
              <w:rPr/>
              <w:t>)% </w:t>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Same-restaurant sales change</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1.3</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(2.3</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(1.8</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4.7</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n/a</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n/a</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tcPr>
          <w:p>
            <w:pPr>
              <w:pStyle w:val="TableContents"/>
              <w:bidi w:val="0"/>
              <w:spacing w:before="0" w:after="0"/>
              <w:jc w:val="left"/>
              <w:rPr>
                <w:rFonts w:ascii="Times New Roman" w:hAnsi="Times New Roman"/>
                <w:b/>
                <w:sz w:val="20"/>
              </w:rPr>
            </w:pPr>
            <w:r>
              <w:rPr>
                <w:rFonts w:ascii="Times New Roman" w:hAnsi="Times New Roman"/>
                <w:b/>
                <w:sz w:val="20"/>
              </w:rPr>
              <w:t>Franchise(a):</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728"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 same-restaurant sales change</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1.5</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(2.2</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(1.5</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4.6</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(11.8</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tcPr>
          <w:p>
            <w:pPr>
              <w:pStyle w:val="TableContents"/>
              <w:bidi w:val="0"/>
              <w:spacing w:before="0" w:after="0"/>
              <w:jc w:val="left"/>
              <w:rPr>
                <w:rFonts w:ascii="Times New Roman" w:hAnsi="Times New Roman"/>
                <w:sz w:val="20"/>
              </w:rPr>
            </w:pPr>
            <w:r>
              <w:rPr>
                <w:rFonts w:ascii="Times New Roman" w:hAnsi="Times New Roman"/>
                <w:sz w:val="20"/>
              </w:rPr>
              <w:t>Same-restaurant sales change</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1.3</w:t>
            </w:r>
          </w:p>
        </w:tc>
        <w:tc>
          <w:tcPr>
            <w:tcW w:w="35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(2.3</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(1.5</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4.8</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n/a</w:t>
            </w:r>
          </w:p>
        </w:tc>
        <w:tc>
          <w:tcPr>
            <w:tcW w:w="38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n/a</w:t>
            </w:r>
          </w:p>
        </w:tc>
        <w:tc>
          <w:tcPr>
            <w:tcW w:w="361" w:type="dxa"/>
            <w:tcBorders/>
            <w:vAlign w:val="bottom"/>
          </w:tcPr>
          <w:p>
            <w:pPr>
              <w:pStyle w:val="TableContents"/>
              <w:bidi w:val="0"/>
              <w:spacing w:before="0" w:after="283"/>
              <w:jc w:val="left"/>
              <w:rPr/>
            </w:pPr>
            <w:r>
              <w:rPr/>
              <w:t> </w:t>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 average weekly unit sales (in thousands)</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39.7</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39.0</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57.7</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58.0</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32.5</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30.2</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tcPr>
          <w:p>
            <w:pPr>
              <w:pStyle w:val="TableContents"/>
              <w:bidi w:val="0"/>
              <w:spacing w:before="0" w:after="0"/>
              <w:jc w:val="left"/>
              <w:rPr>
                <w:rFonts w:ascii="Times New Roman" w:hAnsi="Times New Roman"/>
                <w:b/>
                <w:sz w:val="20"/>
              </w:rPr>
            </w:pPr>
            <w:r>
              <w:rPr>
                <w:rFonts w:ascii="Times New Roman" w:hAnsi="Times New Roman"/>
                <w:b/>
                <w:sz w:val="20"/>
              </w:rPr>
              <w:t>Company:</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728"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 average weekly unit sales (in thousands)</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27.5</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30.8</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39.0</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36.2</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18.9</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17.6</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tcPr>
          <w:p>
            <w:pPr>
              <w:pStyle w:val="TableContents"/>
              <w:bidi w:val="0"/>
              <w:spacing w:before="0" w:after="0"/>
              <w:jc w:val="left"/>
              <w:rPr>
                <w:rFonts w:ascii="Times New Roman" w:hAnsi="Times New Roman"/>
                <w:b/>
                <w:sz w:val="20"/>
              </w:rPr>
            </w:pPr>
            <w:r>
              <w:rPr>
                <w:rFonts w:ascii="Times New Roman" w:hAnsi="Times New Roman"/>
                <w:b/>
                <w:sz w:val="20"/>
              </w:rPr>
              <w:t>Development</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728"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Franchise</w:t>
            </w:r>
            <w:r>
              <w:rPr>
                <w:rFonts w:ascii="Times New Roman" w:hAnsi="Times New Roman"/>
                <w:sz w:val="20"/>
              </w:rPr>
              <w:t>(b)</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8"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8"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155" w:type="dxa"/>
            <w:tcBorders/>
          </w:tcPr>
          <w:p>
            <w:pPr>
              <w:pStyle w:val="TableContents"/>
              <w:bidi w:val="0"/>
              <w:spacing w:before="0" w:after="0"/>
              <w:jc w:val="left"/>
              <w:rPr>
                <w:rFonts w:ascii="Times New Roman" w:hAnsi="Times New Roman"/>
                <w:sz w:val="20"/>
              </w:rPr>
            </w:pPr>
            <w:r>
              <w:rPr>
                <w:rFonts w:ascii="Times New Roman" w:hAnsi="Times New Roman"/>
                <w:sz w:val="20"/>
              </w:rPr>
              <w:t>Beginning</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1,804</w:t>
            </w:r>
          </w:p>
        </w:tc>
        <w:tc>
          <w:tcPr>
            <w:tcW w:w="35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1,804</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1,498</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1,547</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101</w:t>
            </w:r>
          </w:p>
        </w:tc>
        <w:tc>
          <w:tcPr>
            <w:tcW w:w="38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113</w:t>
            </w:r>
          </w:p>
        </w:tc>
        <w:tc>
          <w:tcPr>
            <w:tcW w:w="361" w:type="dxa"/>
            <w:tcBorders/>
            <w:vAlign w:val="bottom"/>
          </w:tcPr>
          <w:p>
            <w:pPr>
              <w:pStyle w:val="TableContents"/>
              <w:bidi w:val="0"/>
              <w:spacing w:before="0" w:after="283"/>
              <w:jc w:val="left"/>
              <w:rPr/>
            </w:pPr>
            <w:r>
              <w:rPr/>
              <w:t> </w:t>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Opened</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5</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7</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5</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tcPr>
          <w:p>
            <w:pPr>
              <w:pStyle w:val="TableContents"/>
              <w:bidi w:val="0"/>
              <w:spacing w:before="0" w:after="0"/>
              <w:jc w:val="left"/>
              <w:rPr>
                <w:rFonts w:ascii="Times New Roman" w:hAnsi="Times New Roman"/>
                <w:sz w:val="20"/>
              </w:rPr>
            </w:pPr>
            <w:r>
              <w:rPr>
                <w:rFonts w:ascii="Times New Roman" w:hAnsi="Times New Roman"/>
                <w:sz w:val="20"/>
              </w:rPr>
              <w:t>Closed</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(13</w:t>
            </w:r>
          </w:p>
        </w:tc>
        <w:tc>
          <w:tcPr>
            <w:tcW w:w="35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(25</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(64</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(33</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(5</w:t>
            </w:r>
          </w:p>
        </w:tc>
        <w:tc>
          <w:tcPr>
            <w:tcW w:w="38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(3</w:t>
            </w:r>
          </w:p>
        </w:tc>
        <w:tc>
          <w:tcPr>
            <w:tcW w:w="361" w:type="dxa"/>
            <w:tcBorders/>
            <w:vAlign w:val="bottom"/>
          </w:tcPr>
          <w:p>
            <w:pPr>
              <w:pStyle w:val="TableContents"/>
              <w:bidi w:val="0"/>
              <w:spacing w:before="0" w:after="283"/>
              <w:jc w:val="left"/>
              <w:rPr/>
            </w:pPr>
            <w:r>
              <w:rPr/>
              <w:t>) </w:t>
            </w:r>
          </w:p>
        </w:tc>
      </w:tr>
      <w:tr>
        <w:trPr/>
        <w:tc>
          <w:tcPr>
            <w:tcW w:w="2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387"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1,796</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1,786</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1,439</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1,514</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96</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112</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387"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155" w:type="dxa"/>
            <w:tcBorders/>
          </w:tcPr>
          <w:p>
            <w:pPr>
              <w:pStyle w:val="TableContents"/>
              <w:bidi w:val="0"/>
              <w:spacing w:before="0" w:after="0"/>
              <w:jc w:val="left"/>
              <w:rPr>
                <w:rFonts w:ascii="Times New Roman" w:hAnsi="Times New Roman"/>
                <w:sz w:val="20"/>
              </w:rPr>
            </w:pPr>
            <w:r>
              <w:rPr>
                <w:rFonts w:ascii="Times New Roman" w:hAnsi="Times New Roman"/>
                <w:b/>
                <w:sz w:val="20"/>
              </w:rPr>
              <w:t>Company</w:t>
            </w:r>
            <w:r>
              <w:rPr>
                <w:rFonts w:ascii="Times New Roman" w:hAnsi="Times New Roman"/>
                <w:sz w:val="20"/>
              </w:rPr>
              <w:t>(b)</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8"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728"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14</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10</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71</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47</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1</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1</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tcPr>
          <w:p>
            <w:pPr>
              <w:pStyle w:val="TableContents"/>
              <w:bidi w:val="0"/>
              <w:spacing w:before="0" w:after="0"/>
              <w:jc w:val="left"/>
              <w:rPr>
                <w:rFonts w:ascii="Times New Roman" w:hAnsi="Times New Roman"/>
                <w:sz w:val="20"/>
              </w:rPr>
            </w:pPr>
            <w:r>
              <w:rPr>
                <w:rFonts w:ascii="Times New Roman" w:hAnsi="Times New Roman"/>
                <w:sz w:val="20"/>
              </w:rPr>
              <w:t>Opened</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3</w:t>
            </w:r>
          </w:p>
        </w:tc>
        <w:tc>
          <w:tcPr>
            <w:tcW w:w="35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48</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— </w:t>
            </w:r>
          </w:p>
        </w:tc>
        <w:tc>
          <w:tcPr>
            <w:tcW w:w="38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361" w:type="dxa"/>
            <w:tcBorders/>
            <w:vAlign w:val="bottom"/>
          </w:tcPr>
          <w:p>
            <w:pPr>
              <w:pStyle w:val="TableContents"/>
              <w:bidi w:val="0"/>
              <w:spacing w:before="0" w:after="283"/>
              <w:jc w:val="left"/>
              <w:rPr/>
            </w:pPr>
            <w:r>
              <w:rPr/>
              <w:t> </w:t>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Closed</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(1</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— </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— </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387"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155" w:type="dxa"/>
            <w:tcBorders/>
          </w:tcPr>
          <w:p>
            <w:pPr>
              <w:pStyle w:val="TableContents"/>
              <w:bidi w:val="0"/>
              <w:spacing w:before="0" w:after="0"/>
              <w:jc w:val="left"/>
              <w:rPr>
                <w:rFonts w:ascii="Times New Roman" w:hAnsi="Times New Roman"/>
                <w:sz w:val="20"/>
              </w:rPr>
            </w:pPr>
            <w:r>
              <w:rPr>
                <w:rFonts w:ascii="Times New Roman" w:hAnsi="Times New Roman"/>
                <w:sz w:val="20"/>
              </w:rPr>
              <w:t>Ending</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17</w:t>
            </w:r>
          </w:p>
        </w:tc>
        <w:tc>
          <w:tcPr>
            <w:tcW w:w="35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10</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118</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59</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w:t>
            </w:r>
          </w:p>
        </w:tc>
        <w:tc>
          <w:tcPr>
            <w:tcW w:w="38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w:t>
            </w:r>
          </w:p>
        </w:tc>
        <w:tc>
          <w:tcPr>
            <w:tcW w:w="361" w:type="dxa"/>
            <w:tcBorders/>
            <w:vAlign w:val="bottom"/>
          </w:tcPr>
          <w:p>
            <w:pPr>
              <w:pStyle w:val="TableContents"/>
              <w:bidi w:val="0"/>
              <w:spacing w:before="0" w:after="283"/>
              <w:jc w:val="left"/>
              <w:rPr/>
            </w:pPr>
            <w:r>
              <w:rPr/>
              <w:t> </w:t>
            </w:r>
          </w:p>
        </w:tc>
      </w:tr>
      <w:tr>
        <w:trPr/>
        <w:tc>
          <w:tcPr>
            <w:tcW w:w="2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387"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1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Development</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b/>
              </w:rPr>
            </w:pPr>
            <w:r>
              <w:rPr>
                <w:b/>
              </w:rPr>
              <w:t>1,813</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b/>
              </w:rPr>
            </w:pPr>
            <w:r>
              <w:rPr>
                <w:b/>
              </w:rPr>
              <w:t>1,796</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b/>
              </w:rPr>
            </w:pPr>
            <w:r>
              <w:rPr>
                <w:b/>
              </w:rPr>
              <w:t>1,557</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b/>
              </w:rPr>
            </w:pPr>
            <w:r>
              <w:rPr>
                <w:b/>
              </w:rPr>
              <w:t>1,573</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b/>
              </w:rPr>
            </w:pPr>
            <w:r>
              <w:rPr>
                <w:b/>
              </w:rPr>
              <w:t>97</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113</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387"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155"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(15</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(11</w:t>
            </w:r>
          </w:p>
        </w:tc>
        <w:tc>
          <w:tcPr>
            <w:tcW w:w="35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(5</w:t>
            </w:r>
          </w:p>
        </w:tc>
        <w:tc>
          <w:tcPr>
            <w:tcW w:w="387"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w:t>
            </w:r>
          </w:p>
        </w:tc>
        <w:tc>
          <w:tcPr>
            <w:tcW w:w="361" w:type="dxa"/>
            <w:tcBorders/>
            <w:vAlign w:val="bottom"/>
          </w:tcPr>
          <w:p>
            <w:pPr>
              <w:pStyle w:val="TableContents"/>
              <w:bidi w:val="0"/>
              <w:spacing w:before="0" w:after="283"/>
              <w:jc w:val="left"/>
              <w:rPr/>
            </w:pPr>
            <w:r>
              <w:rPr/>
              <w:t>) </w:t>
            </w:r>
          </w:p>
        </w:tc>
      </w:tr>
      <w:tr>
        <w:trPr/>
        <w:tc>
          <w:tcPr>
            <w:tcW w:w="2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4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(5</w:t>
            </w:r>
          </w:p>
        </w:tc>
        <w:tc>
          <w:tcPr>
            <w:tcW w:w="35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(3</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(1</w:t>
            </w:r>
          </w:p>
        </w:tc>
        <w:tc>
          <w:tcPr>
            <w:tcW w:w="35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n/a</w:t>
            </w:r>
          </w:p>
        </w:tc>
        <w:tc>
          <w:tcPr>
            <w:tcW w:w="387"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n/a</w:t>
            </w:r>
          </w:p>
        </w:tc>
        <w:tc>
          <w:tcPr>
            <w:tcW w:w="361" w:type="dxa"/>
            <w:tcBorders/>
            <w:shd w:fill="CCEEFF" w:val="clear"/>
            <w:vAlign w:val="bottom"/>
          </w:tcPr>
          <w:p>
            <w:pPr>
              <w:pStyle w:val="TableContents"/>
              <w:bidi w:val="0"/>
              <w:spacing w:before="0" w:after="283"/>
              <w:jc w:val="left"/>
              <w:rPr/>
            </w:pPr>
            <w:r>
              <w:rPr/>
              <w:t> </w:t>
            </w:r>
          </w:p>
        </w:tc>
      </w:tr>
      <w:tr>
        <w:trPr/>
        <w:tc>
          <w:tcPr>
            <w:tcW w:w="2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387"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1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Development</w:t>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b/>
              </w:rPr>
            </w:pPr>
            <w:r>
              <w:rPr>
                <w:b/>
              </w:rPr>
              <w:t>(5</w:t>
            </w:r>
          </w:p>
        </w:tc>
        <w:tc>
          <w:tcPr>
            <w:tcW w:w="351" w:type="dxa"/>
            <w:tcBorders/>
            <w:vAlign w:val="bottom"/>
          </w:tcPr>
          <w:p>
            <w:pPr>
              <w:pStyle w:val="TableContents"/>
              <w:bidi w:val="0"/>
              <w:spacing w:before="0" w:after="283"/>
              <w:jc w:val="left"/>
              <w:rPr>
                <w:b/>
              </w:rPr>
            </w:pPr>
            <w:r>
              <w:rPr>
                <w:b/>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b/>
              </w:rPr>
            </w:pPr>
            <w:r>
              <w:rPr>
                <w:b/>
              </w:rPr>
              <w:t>(18</w:t>
            </w:r>
          </w:p>
        </w:tc>
        <w:tc>
          <w:tcPr>
            <w:tcW w:w="351" w:type="dxa"/>
            <w:tcBorders/>
            <w:vAlign w:val="bottom"/>
          </w:tcPr>
          <w:p>
            <w:pPr>
              <w:pStyle w:val="TableContents"/>
              <w:bidi w:val="0"/>
              <w:spacing w:before="0" w:after="283"/>
              <w:jc w:val="left"/>
              <w:rPr>
                <w:b/>
              </w:rPr>
            </w:pPr>
            <w:r>
              <w:rPr>
                <w:b/>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b/>
              </w:rPr>
            </w:pPr>
            <w:r>
              <w:rPr>
                <w:b/>
              </w:rPr>
              <w:t>(12</w:t>
            </w:r>
          </w:p>
        </w:tc>
        <w:tc>
          <w:tcPr>
            <w:tcW w:w="351" w:type="dxa"/>
            <w:tcBorders/>
            <w:vAlign w:val="bottom"/>
          </w:tcPr>
          <w:p>
            <w:pPr>
              <w:pStyle w:val="TableContents"/>
              <w:bidi w:val="0"/>
              <w:spacing w:before="0" w:after="283"/>
              <w:jc w:val="left"/>
              <w:rPr>
                <w:b/>
              </w:rPr>
            </w:pPr>
            <w:r>
              <w:rPr>
                <w:b/>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b/>
              </w:rPr>
            </w:pPr>
            <w:r>
              <w:rPr>
                <w:b/>
              </w:rPr>
              <w:t>(21</w:t>
            </w:r>
          </w:p>
        </w:tc>
        <w:tc>
          <w:tcPr>
            <w:tcW w:w="275" w:type="dxa"/>
            <w:tcBorders/>
            <w:vAlign w:val="bottom"/>
          </w:tcPr>
          <w:p>
            <w:pPr>
              <w:pStyle w:val="TableContents"/>
              <w:bidi w:val="0"/>
              <w:spacing w:before="0" w:after="283"/>
              <w:jc w:val="left"/>
              <w:rPr>
                <w:b/>
              </w:rPr>
            </w:pPr>
            <w:r>
              <w:rPr>
                <w:b/>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b/>
              </w:rPr>
            </w:pPr>
            <w:r>
              <w:rPr>
                <w:b/>
              </w:rPr>
              <w:t>(5</w:t>
            </w:r>
          </w:p>
        </w:tc>
        <w:tc>
          <w:tcPr>
            <w:tcW w:w="387" w:type="dxa"/>
            <w:tcBorders/>
            <w:vAlign w:val="bottom"/>
          </w:tcPr>
          <w:p>
            <w:pPr>
              <w:pStyle w:val="TableContents"/>
              <w:bidi w:val="0"/>
              <w:spacing w:before="0" w:after="283"/>
              <w:jc w:val="left"/>
              <w:rPr>
                <w:b/>
              </w:rPr>
            </w:pPr>
            <w:r>
              <w:rPr>
                <w:b/>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(1</w:t>
            </w:r>
          </w:p>
        </w:tc>
        <w:tc>
          <w:tcPr>
            <w:tcW w:w="361" w:type="dxa"/>
            <w:tcBorders/>
            <w:vAlign w:val="bottom"/>
          </w:tcPr>
          <w:p>
            <w:pPr>
              <w:pStyle w:val="TableContents"/>
              <w:bidi w:val="0"/>
              <w:spacing w:before="0" w:after="283"/>
              <w:jc w:val="left"/>
              <w:rPr>
                <w:b/>
              </w:rPr>
            </w:pPr>
            <w:r>
              <w:rPr>
                <w:b/>
              </w:rPr>
              <w:t>) </w:t>
            </w:r>
          </w:p>
        </w:tc>
      </w:tr>
      <w:tr>
        <w:trPr/>
        <w:tc>
          <w:tcPr>
            <w:tcW w:w="2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387"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12 of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Restaurant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9"/>
        <w:gridCol w:w="152"/>
        <w:gridCol w:w="140"/>
        <w:gridCol w:w="741"/>
        <w:gridCol w:w="280"/>
        <w:gridCol w:w="95"/>
        <w:gridCol w:w="140"/>
        <w:gridCol w:w="741"/>
        <w:gridCol w:w="351"/>
        <w:gridCol w:w="95"/>
        <w:gridCol w:w="140"/>
        <w:gridCol w:w="741"/>
        <w:gridCol w:w="351"/>
        <w:gridCol w:w="95"/>
        <w:gridCol w:w="140"/>
        <w:gridCol w:w="741"/>
        <w:gridCol w:w="280"/>
        <w:gridCol w:w="95"/>
        <w:gridCol w:w="211"/>
        <w:gridCol w:w="669"/>
        <w:gridCol w:w="280"/>
        <w:gridCol w:w="95"/>
        <w:gridCol w:w="187"/>
        <w:gridCol w:w="692"/>
        <w:gridCol w:w="364"/>
      </w:tblGrid>
      <w:tr>
        <w:trPr/>
        <w:tc>
          <w:tcPr>
            <w:tcW w:w="238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IHOP</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Applebee’s</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Fuzzy’s</w:t>
            </w:r>
          </w:p>
        </w:tc>
        <w:tc>
          <w:tcPr>
            <w:tcW w:w="364" w:type="dxa"/>
            <w:tcBorders/>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1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364" w:type="dxa"/>
            <w:tcBorders/>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2026</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w:t>
              <w:br/>
              <w:t>2025</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2026</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w:t>
              <w:br/>
              <w:t>2025</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2026</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w:t>
              <w:br/>
              <w:t>2025</w:t>
            </w:r>
          </w:p>
        </w:tc>
        <w:tc>
          <w:tcPr>
            <w:tcW w:w="364"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System Sales (in millions)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Franchise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1,744.5</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1,726.5</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2,108.9</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2,160.1</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9" w:type="dxa"/>
            <w:tcBorders/>
            <w:vAlign w:val="bottom"/>
          </w:tcPr>
          <w:p>
            <w:pPr>
              <w:pStyle w:val="TableContents"/>
              <w:bidi w:val="0"/>
              <w:spacing w:before="0" w:after="283"/>
              <w:jc w:val="right"/>
              <w:rPr/>
            </w:pPr>
            <w:r>
              <w:rPr/>
              <w:t>77.3</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82.4</w:t>
            </w:r>
          </w:p>
        </w:tc>
        <w:tc>
          <w:tcPr>
            <w:tcW w:w="364"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9.6</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5.3</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70.7</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44.1</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0.5</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0.4</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1,754.1</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1,731.8</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2,179.6</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2,204.2</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9" w:type="dxa"/>
            <w:tcBorders/>
            <w:vAlign w:val="bottom"/>
          </w:tcPr>
          <w:p>
            <w:pPr>
              <w:pStyle w:val="TableContents"/>
              <w:bidi w:val="0"/>
              <w:spacing w:before="0" w:after="283"/>
              <w:jc w:val="right"/>
              <w:rPr/>
            </w:pPr>
            <w:r>
              <w:rPr/>
              <w:t>77.8</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82.8</w:t>
            </w:r>
          </w:p>
        </w:tc>
        <w:tc>
          <w:tcPr>
            <w:tcW w:w="364" w:type="dxa"/>
            <w:tcBorders/>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System:</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Domestic same-restaurant sales change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0.8</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(2.5</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1.3</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3.6</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(12.0</w:t>
            </w:r>
          </w:p>
        </w:tc>
        <w:tc>
          <w:tcPr>
            <w:tcW w:w="364"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Same-restaurant sales change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0.6</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(2.5</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(0.1</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1.1</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n/a</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n/a</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b/>
                <w:sz w:val="20"/>
              </w:rPr>
            </w:pPr>
            <w:r>
              <w:rPr>
                <w:rFonts w:ascii="Times New Roman" w:hAnsi="Times New Roman"/>
                <w:b/>
                <w:sz w:val="20"/>
              </w:rPr>
              <w:t>Franchise(a):</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 same-restaurant sales change</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0.8</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(2.4</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0.2</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1.5</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3.6</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(12.0</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Same-restaurant sales change</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0.6</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(2.5</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(0.1</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1.3</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n/a</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n/a</w:t>
            </w:r>
          </w:p>
        </w:tc>
        <w:tc>
          <w:tcPr>
            <w:tcW w:w="364"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 average weekly unit sales (in thousands)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39.0</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38.4</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57.0</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56.3</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30.2</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28.3</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b/>
                <w:sz w:val="20"/>
              </w:rPr>
            </w:pPr>
            <w:r>
              <w:rPr>
                <w:rFonts w:ascii="Times New Roman" w:hAnsi="Times New Roman"/>
                <w:b/>
                <w:sz w:val="20"/>
              </w:rPr>
              <w:t>Company:</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 average weekly unit sales (in thousands)</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28.2</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33.8</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38.3</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34.1</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18.3</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18.1</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b/>
                <w:sz w:val="20"/>
              </w:rPr>
            </w:pPr>
            <w:r>
              <w:rPr>
                <w:rFonts w:ascii="Times New Roman" w:hAnsi="Times New Roman"/>
                <w:b/>
                <w:sz w:val="20"/>
              </w:rPr>
              <w:t>Development</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Franchise</w:t>
            </w:r>
            <w:r>
              <w:rPr>
                <w:rFonts w:ascii="Times New Roman" w:hAnsi="Times New Roman"/>
                <w:sz w:val="20"/>
              </w:rPr>
              <w:t>(b)</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9"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Beginning</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1,812</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1,824</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1,520</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1,567</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105</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116</w:t>
            </w:r>
          </w:p>
        </w:tc>
        <w:tc>
          <w:tcPr>
            <w:tcW w:w="364"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Opened</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17</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15</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15</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3</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Closed</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(33</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(53</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(96</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(54</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(9</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(7</w:t>
            </w:r>
          </w:p>
        </w:tc>
        <w:tc>
          <w:tcPr>
            <w:tcW w:w="364" w:type="dxa"/>
            <w:tcBorders/>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1,796</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1,786</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1,439</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1,514</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96</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112</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b/>
                <w:sz w:val="20"/>
              </w:rPr>
              <w:t>Company</w:t>
            </w:r>
            <w:r>
              <w:rPr>
                <w:rFonts w:ascii="Times New Roman" w:hAnsi="Times New Roman"/>
                <w:sz w:val="20"/>
              </w:rPr>
              <w:t>(b)</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12</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59</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47</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1</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Opened</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5</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60</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12</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364"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Closed</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Ending</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17</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118</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59</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1</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w:t>
            </w:r>
          </w:p>
        </w:tc>
        <w:tc>
          <w:tcPr>
            <w:tcW w:w="364" w:type="dxa"/>
            <w:tcBorders/>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3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Development</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1,813</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1,796</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1,557</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1,573</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b/>
              </w:rPr>
            </w:pPr>
            <w:r>
              <w:rPr>
                <w:b/>
              </w:rPr>
              <w:t>97</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b/>
              </w:rPr>
            </w:pPr>
            <w:r>
              <w:rPr>
                <w:b/>
              </w:rPr>
              <w:t>113</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(7</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(27</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(22</w:t>
            </w:r>
          </w:p>
        </w:tc>
        <w:tc>
          <w:tcPr>
            <w:tcW w:w="35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(33</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(9</w:t>
            </w:r>
          </w:p>
        </w:tc>
        <w:tc>
          <w:tcPr>
            <w:tcW w:w="28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(4</w:t>
            </w:r>
          </w:p>
        </w:tc>
        <w:tc>
          <w:tcPr>
            <w:tcW w:w="364"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(8</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n/a</w:t>
            </w:r>
          </w:p>
        </w:tc>
        <w:tc>
          <w:tcPr>
            <w:tcW w:w="28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n/a</w:t>
            </w:r>
          </w:p>
        </w:tc>
        <w:tc>
          <w:tcPr>
            <w:tcW w:w="364" w:type="dxa"/>
            <w:tcBorders/>
            <w:shd w:fill="CCEEFF" w:val="clear"/>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r>
        <w:trPr/>
        <w:tc>
          <w:tcPr>
            <w:tcW w:w="23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Development</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(11</w:t>
            </w:r>
          </w:p>
        </w:tc>
        <w:tc>
          <w:tcPr>
            <w:tcW w:w="280"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(28</w:t>
            </w:r>
          </w:p>
        </w:tc>
        <w:tc>
          <w:tcPr>
            <w:tcW w:w="351"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(22</w:t>
            </w:r>
          </w:p>
        </w:tc>
        <w:tc>
          <w:tcPr>
            <w:tcW w:w="351"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(41</w:t>
            </w:r>
          </w:p>
        </w:tc>
        <w:tc>
          <w:tcPr>
            <w:tcW w:w="280"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b/>
              </w:rPr>
            </w:pPr>
            <w:r>
              <w:rPr>
                <w:b/>
              </w:rPr>
              <w:t>(9</w:t>
            </w:r>
          </w:p>
        </w:tc>
        <w:tc>
          <w:tcPr>
            <w:tcW w:w="280"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b/>
              </w:rPr>
            </w:pPr>
            <w:r>
              <w:rPr>
                <w:b/>
              </w:rPr>
              <w:t>(4</w:t>
            </w:r>
          </w:p>
        </w:tc>
        <w:tc>
          <w:tcPr>
            <w:tcW w:w="364" w:type="dxa"/>
            <w:tcBorders/>
            <w:vAlign w:val="bottom"/>
          </w:tcPr>
          <w:p>
            <w:pPr>
              <w:pStyle w:val="TableContents"/>
              <w:bidi w:val="0"/>
              <w:spacing w:before="0" w:after="283"/>
              <w:jc w:val="left"/>
              <w:rPr>
                <w:b/>
              </w:rPr>
            </w:pPr>
            <w:r>
              <w:rPr>
                <w:b/>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669"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franchise sales percentage change and average weekly unit sales excludes restaurants that were closed or acquired by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29, 2025, IHOP franchise closures and company-owned openings included 10 restaurants acquired in March 2025. Applebee’s franchise closures and company-owned openings included 12 restaurants acquired in May 2025 for the three and six months ended June 29, 2025; 12 acquired in February 2026 for the six months ended June 28, 2026; and 48 acquired in June 2026 for the three and six months ended June 28,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Dual-branded restaurants are defined as restaurants that operate our IHOP and Applebee’s restaurant concepts under two separate franchise agreements but within one restaurant location. Because of this, each dual-branded restaurant is counted in both IHOP and Applebee’s restaurant count and activity.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13 of 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Dine Brands Global,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Restaurant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June 28, 2026, we had 44 dual-branded domestic IHOP and Applebee’s restaurant locations. During the three months ended June 28, 2026, we had three existing company-owned Applebee’s restaurants which added the IHOP brand, three existing Applebee’s franchised restaurants which added the IHOP brand, two existing IHOP franchised restaurants which added the Applebee’s brand, and one new franchised restaurant which added to both brands. This totaled 10 dual-branded domestic openings.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28, 2026, we had five existing company-owned Applebee’s restaurants which added the IHOP brand, six existing Applebee’s franchised restaurants which added the IHOP brand, three existing IHOP franchised restaurants which added the Applebee’s brand, and three new franchised restaurants which added to both brands. This totaled 20 dual-branded domestic openings.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and six months ended June 29, 2025, we had one existing IHOP franchised restaurant which added the Applebee’s brand for a total of one dual-branded opening. </w:t>
      </w:r>
    </w:p>
    <w:p>
      <w:pPr>
        <w:pStyle w:val="TextBody"/>
        <w:bidi w:val="0"/>
        <w:spacing w:before="240" w:after="0"/>
        <w:jc w:val="left"/>
        <w:rPr>
          <w:rFonts w:ascii="Times New Roman" w:hAnsi="Times New Roman"/>
          <w:sz w:val="20"/>
        </w:rPr>
      </w:pPr>
      <w:r>
        <w:rPr>
          <w:rFonts w:ascii="Times New Roman" w:hAnsi="Times New Roman"/>
          <w:sz w:val="20"/>
        </w:rPr>
        <w:t xml:space="preserve">As of June 28, 2026, we had 37 dual-branded international IHOP and Applebee’s restaurant locations. During the three months ended June 28, 2026, we had one dual-branded international opening and two dual-brand international closures.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28, 2026, we had five new franchised restaurants which added both brands, and one dual-brand international closure. This totaled 10 dual-branded international openings and one dual-branded international closure. </w:t>
      </w:r>
    </w:p>
    <w:p>
      <w:pPr>
        <w:pStyle w:val="TextBody"/>
        <w:bidi w:val="0"/>
        <w:spacing w:before="240" w:after="0"/>
        <w:jc w:val="left"/>
        <w:rPr>
          <w:rFonts w:ascii="Times New Roman" w:hAnsi="Times New Roman"/>
          <w:sz w:val="20"/>
        </w:rPr>
      </w:pPr>
      <w:r>
        <w:rPr>
          <w:rFonts w:ascii="Times New Roman" w:hAnsi="Times New Roman"/>
          <w:sz w:val="20"/>
        </w:rPr>
        <w:t xml:space="preserve">As of June 29, 2025, we had 20 dual-branded international IHOP and Applebee’s restaurant locations. During the three months ended June 29, 2025, we had one existing Applebee’s franchised restaurant which added the IHOP brand for a total of one dual-branded international opening. </w:t>
      </w:r>
    </w:p>
    <w:p>
      <w:pPr>
        <w:pStyle w:val="TextBody"/>
        <w:bidi w:val="0"/>
        <w:spacing w:before="240" w:after="0"/>
        <w:jc w:val="left"/>
        <w:rPr>
          <w:rFonts w:ascii="Times New Roman" w:hAnsi="Times New Roman"/>
          <w:sz w:val="20"/>
        </w:rPr>
      </w:pPr>
      <w:r>
        <w:rPr>
          <w:rFonts w:ascii="Times New Roman" w:hAnsi="Times New Roman"/>
          <w:sz w:val="20"/>
        </w:rPr>
        <w:t xml:space="preserve">During the six months ended June 29, 2025, we had two existing Applebee’s franchised restaurants which added the IHOP brand for a total of two dual-branded international openings.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effects of the domestic and international restaurant count methodology described above as of June 28, 2026 and June 29,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0"/>
        <w:gridCol w:w="121"/>
        <w:gridCol w:w="84"/>
        <w:gridCol w:w="791"/>
        <w:gridCol w:w="155"/>
        <w:gridCol w:w="62"/>
        <w:gridCol w:w="84"/>
        <w:gridCol w:w="791"/>
        <w:gridCol w:w="155"/>
        <w:gridCol w:w="62"/>
        <w:gridCol w:w="84"/>
        <w:gridCol w:w="791"/>
        <w:gridCol w:w="155"/>
        <w:gridCol w:w="62"/>
        <w:gridCol w:w="84"/>
        <w:gridCol w:w="791"/>
        <w:gridCol w:w="154"/>
        <w:gridCol w:w="62"/>
        <w:gridCol w:w="118"/>
        <w:gridCol w:w="757"/>
        <w:gridCol w:w="84"/>
        <w:gridCol w:w="169"/>
        <w:gridCol w:w="118"/>
        <w:gridCol w:w="757"/>
        <w:gridCol w:w="60"/>
        <w:gridCol w:w="121"/>
        <w:gridCol w:w="84"/>
        <w:gridCol w:w="791"/>
        <w:gridCol w:w="155"/>
        <w:gridCol w:w="62"/>
        <w:gridCol w:w="84"/>
        <w:gridCol w:w="791"/>
        <w:gridCol w:w="166"/>
      </w:tblGrid>
      <w:tr>
        <w:trPr/>
        <w:tc>
          <w:tcPr>
            <w:tcW w:w="140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9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IHOP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9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Applebee’s</w:t>
            </w:r>
          </w:p>
        </w:tc>
        <w:tc>
          <w:tcPr>
            <w:tcW w:w="15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0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Dual-Branded</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9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6"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2026</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w:t>
              <w:br/>
              <w:t>2025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2026</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w:t>
              <w:br/>
              <w:t>2025</w:t>
            </w:r>
          </w:p>
        </w:tc>
        <w:tc>
          <w:tcPr>
            <w:tcW w:w="15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2026</w:t>
            </w:r>
          </w:p>
        </w:tc>
        <w:tc>
          <w:tcPr>
            <w:tcW w:w="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w:t>
              <w:br/>
              <w:t>2025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2026</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29,</w:t>
              <w:br/>
              <w:t>2025</w:t>
            </w:r>
          </w:p>
        </w:tc>
        <w:tc>
          <w:tcPr>
            <w:tcW w:w="166"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Franchise</w:t>
            </w:r>
          </w:p>
        </w:tc>
        <w:tc>
          <w:tcPr>
            <w:tcW w:w="12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1,796</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1,786</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1,439</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1,514</w:t>
            </w:r>
          </w:p>
        </w:tc>
        <w:tc>
          <w:tcPr>
            <w:tcW w:w="15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3,235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3,300</w:t>
            </w:r>
          </w:p>
        </w:tc>
        <w:tc>
          <w:tcPr>
            <w:tcW w:w="166"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59</w:t>
            </w:r>
          </w:p>
        </w:tc>
        <w:tc>
          <w:tcPr>
            <w:tcW w:w="15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135</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69</w:t>
            </w:r>
          </w:p>
        </w:tc>
        <w:tc>
          <w:tcPr>
            <w:tcW w:w="166"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Development</w:t>
            </w:r>
          </w:p>
        </w:tc>
        <w:tc>
          <w:tcPr>
            <w:tcW w:w="12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1,813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1,796</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1,557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1,573</w:t>
            </w:r>
          </w:p>
        </w:tc>
        <w:tc>
          <w:tcPr>
            <w:tcW w:w="15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3,370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3,369</w:t>
            </w:r>
          </w:p>
        </w:tc>
        <w:tc>
          <w:tcPr>
            <w:tcW w:w="166"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20"/>
              </w:rPr>
            </w:pPr>
            <w:r>
              <w:rPr>
                <w:rFonts w:ascii="Times New Roman" w:hAnsi="Times New Roman"/>
                <w:b/>
                <w:sz w:val="20"/>
              </w:rPr>
              <w:t>Domestic Dual-Branded</w:t>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Franchise</w:t>
            </w:r>
          </w:p>
        </w:tc>
        <w:tc>
          <w:tcPr>
            <w:tcW w:w="12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w:t>
            </w:r>
          </w:p>
        </w:tc>
        <w:tc>
          <w:tcPr>
            <w:tcW w:w="15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37</w:t>
            </w:r>
          </w:p>
        </w:tc>
        <w:tc>
          <w:tcPr>
            <w:tcW w:w="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7</w:t>
            </w:r>
          </w:p>
        </w:tc>
        <w:tc>
          <w:tcPr>
            <w:tcW w:w="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International Dual-Branded</w:t>
            </w:r>
          </w:p>
        </w:tc>
        <w:tc>
          <w:tcPr>
            <w:tcW w:w="12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Franchise</w:t>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w:t>
            </w:r>
          </w:p>
        </w:tc>
        <w:tc>
          <w:tcPr>
            <w:tcW w:w="15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37</w:t>
            </w:r>
          </w:p>
        </w:tc>
        <w:tc>
          <w:tcPr>
            <w:tcW w:w="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w:t>
            </w:r>
          </w:p>
        </w:tc>
        <w:tc>
          <w:tcPr>
            <w:tcW w:w="166"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Locations</w:t>
            </w:r>
          </w:p>
        </w:tc>
        <w:tc>
          <w:tcPr>
            <w:tcW w:w="12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1,732</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1,775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1,476</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1,552</w:t>
            </w:r>
          </w:p>
        </w:tc>
        <w:tc>
          <w:tcPr>
            <w:tcW w:w="15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81</w:t>
            </w:r>
          </w:p>
        </w:tc>
        <w:tc>
          <w:tcPr>
            <w:tcW w:w="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21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3,289</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3,348</w:t>
            </w:r>
          </w:p>
        </w:tc>
        <w:tc>
          <w:tcPr>
            <w:tcW w:w="166"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our dual-branded business expands, we may reevaluate how these restaurants are counted in future disclosures.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Page 14 of 14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5974</Words>
  <Characters>31629</Characters>
  <CharactersWithSpaces>40269</CharactersWithSpaces>
  <Paragraphs>4955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