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Dine Brands Global,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44" w:type="dxa"/>
        <w:tblCellMar>
          <w:top w:w="0" w:type="dxa"/>
          <w:left w:w="0" w:type="dxa"/>
          <w:bottom w:w="0" w:type="dxa"/>
          <w:right w:w="0" w:type="dxa"/>
        </w:tblCellMar>
      </w:tblPr>
      <w:tr>
        <w:trPr>
          <w:trHeight w:val="214"/>
        </w:trPr>
        <w:tc>
          <w:tcPr>
            <w:tcW w:w="4240" w:type="dxa"/>
            <w:vAlign w:val="bottom"/>
          </w:tcPr>
          <w:p>
            <w:pPr>
              <w:jc w:val="center"/>
              <w:ind w:right="21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jc w:val="center"/>
              <w:ind w:right="1142"/>
              <w:spacing w:after="0"/>
              <w:rPr>
                <w:sz w:val="20"/>
                <w:szCs w:val="20"/>
                <w:color w:val="auto"/>
              </w:rPr>
            </w:pPr>
            <w:r>
              <w:rPr>
                <w:rFonts w:ascii="Times New Roman" w:cs="Times New Roman" w:eastAsia="Times New Roman" w:hAnsi="Times New Roman"/>
                <w:sz w:val="18"/>
                <w:szCs w:val="18"/>
                <w:b w:val="1"/>
                <w:bCs w:val="1"/>
                <w:color w:val="auto"/>
                <w:w w:val="99"/>
              </w:rPr>
              <w:t>001-15283</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95-3038279</w:t>
            </w:r>
          </w:p>
        </w:tc>
      </w:tr>
      <w:tr>
        <w:trPr>
          <w:trHeight w:val="148"/>
        </w:trPr>
        <w:tc>
          <w:tcPr>
            <w:tcW w:w="4240" w:type="dxa"/>
            <w:vAlign w:val="bottom"/>
          </w:tcPr>
          <w:p>
            <w:pPr>
              <w:jc w:val="center"/>
              <w:ind w:right="21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jc w:val="center"/>
              <w:ind w:right="11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40" w:type="dxa"/>
            <w:vAlign w:val="bottom"/>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28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24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8"/>
              </w:rPr>
              <w:t>10 West Walnut Street, 5th Floor,</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24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Pasadena, California</w:t>
            </w:r>
          </w:p>
        </w:tc>
        <w:tc>
          <w:tcPr>
            <w:tcW w:w="228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91103</w:t>
            </w:r>
          </w:p>
        </w:tc>
      </w:tr>
      <w:tr>
        <w:trPr>
          <w:trHeight w:val="190"/>
        </w:trPr>
        <w:tc>
          <w:tcPr>
            <w:tcW w:w="4240" w:type="dxa"/>
            <w:vAlign w:val="bottom"/>
          </w:tcPr>
          <w:p>
            <w:pPr>
              <w:jc w:val="center"/>
              <w:ind w:left="1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(818) 240-6055</w:t>
      </w:r>
    </w:p>
    <w:p>
      <w:pPr>
        <w:spacing w:after="0" w:line="25" w:lineRule="exact"/>
        <w:rPr>
          <w:sz w:val="24"/>
          <w:szCs w:val="24"/>
          <w:color w:val="auto"/>
        </w:rPr>
      </w:pPr>
    </w:p>
    <w:p>
      <w:pPr>
        <w:ind w:left="38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194310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6, 2026, Dine Brands Global, Inc., a Delaware corporation (the “Corporation”), issued a press release announcing its first quarter 2026 financial results (the “Earnings Release”). Subsequent to the issuance of the Earnings Release, the Corporation discovered that, due to an inadvertent error, adjusted net income for the first quarter of 2026 was reported as $13.5 million and adjusted earnings per diluted share was reported as $1.07. The correct adjusted net income for the first quarter of 2026 is $11.1 million and the correct adjusted earnings per diluted share is $0.88. A press release reflecting these corrections is attached hereto as Exhibit 99.1 and is incorporated herein by reference.</w:t>
      </w:r>
    </w:p>
    <w:p>
      <w:pPr>
        <w:spacing w:after="0" w:line="18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Adjusted net income and adjusted earnings per diluted share are non-GAAP financial measures and should not be considered in isolation or as a substitute for measures of performance prepared in accordance with U.S. GAAP. Please refer to the attached Earnings Release for additional discussion of adjusted net income and adjusted earnings per diluted share and reconciliations to the most directly comparable U.S. GAAP financial measures.</w:t>
      </w:r>
    </w:p>
    <w:p>
      <w:pPr>
        <w:spacing w:after="0" w:line="15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corrections described above did not impact the condensed consolidated financial statements of the Corporation and related notes included in the Corporation’s quarterly report on Form 10-Q for the quarterly period ended March 29, 2026, filed with the SEC on May 6, 2026.</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including the related information set forth in the press release attached hereto as Exhibit 99.1 and incorporated by reference herein, is being “furnished” and shall not be deemed “filed” for the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60" w:type="dxa"/>
            <w:vAlign w:val="bottom"/>
          </w:tcPr>
          <w:p>
            <w:pPr>
              <w:spacing w:after="0"/>
              <w:rPr>
                <w:sz w:val="20"/>
                <w:szCs w:val="20"/>
                <w:color w:val="auto"/>
              </w:rPr>
            </w:pPr>
          </w:p>
        </w:tc>
        <w:tc>
          <w:tcPr>
            <w:tcW w:w="5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6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67"/>
        </w:trPr>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78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582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the Corporation on May 6, 2026 (Corrected).</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DINE BRANDS GLOBAL, INC.</w:t>
            </w:r>
          </w:p>
        </w:tc>
      </w:tr>
      <w:tr>
        <w:trPr>
          <w:trHeight w:val="432"/>
        </w:trPr>
        <w:tc>
          <w:tcPr>
            <w:tcW w:w="3440" w:type="dxa"/>
            <w:vAlign w:val="bottom"/>
          </w:tcPr>
          <w:p>
            <w:pPr>
              <w:spacing w:after="0"/>
              <w:rPr>
                <w:sz w:val="24"/>
                <w:szCs w:val="24"/>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w w:val="97"/>
              </w:rPr>
              <w:t>By: /s/ Vance Y. Chang</w:t>
            </w:r>
          </w:p>
        </w:tc>
      </w:tr>
      <w:tr>
        <w:trPr>
          <w:trHeight w:val="205"/>
        </w:trPr>
        <w:tc>
          <w:tcPr>
            <w:tcW w:w="3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Vance Y. Chang</w:t>
            </w:r>
          </w:p>
        </w:tc>
      </w:t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1134110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337185</wp:posOffset>
            </wp:positionV>
            <wp:extent cx="206565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 Lee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Sr. Vice President, Finance and Investor Relations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IR@dinebrands.com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Media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Susan Nelson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Sr. Vice President, Global Communications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Mediainquiries@dinebrands.com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CORRECTING and REPLACING Dine Brands Global, Inc. Reports First Quarter 2026 Results</w:t>
      </w:r>
    </w:p>
    <w:p>
      <w:pPr>
        <w:spacing w:after="0" w:line="225" w:lineRule="exact"/>
        <w:rPr>
          <w:sz w:val="20"/>
          <w:szCs w:val="20"/>
          <w:color w:val="auto"/>
        </w:rPr>
      </w:pPr>
    </w:p>
    <w:p>
      <w:pPr>
        <w:ind w:right="340"/>
        <w:spacing w:after="0" w:line="321" w:lineRule="auto"/>
        <w:rPr>
          <w:sz w:val="20"/>
          <w:szCs w:val="20"/>
          <w:color w:val="auto"/>
        </w:rPr>
      </w:pPr>
      <w:r>
        <w:rPr>
          <w:rFonts w:ascii="Times New Roman" w:cs="Times New Roman" w:eastAsia="Times New Roman" w:hAnsi="Times New Roman"/>
          <w:sz w:val="17"/>
          <w:szCs w:val="17"/>
          <w:b w:val="1"/>
          <w:bCs w:val="1"/>
          <w:color w:val="auto"/>
        </w:rPr>
        <w:t xml:space="preserve">PASADENA, Calif., May 6, 2026 </w:t>
      </w:r>
      <w:r>
        <w:rPr>
          <w:rFonts w:ascii="Times New Roman" w:cs="Times New Roman" w:eastAsia="Times New Roman" w:hAnsi="Times New Roman"/>
          <w:sz w:val="17"/>
          <w:szCs w:val="17"/>
          <w:color w:val="auto"/>
        </w:rPr>
        <w:t>– Dine Brands Global, Inc. (NYSE: DIN) (the “Company” or “Dine Brands”), the parent company of Applebee’s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Neighborhood Grill +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restaurants, today announced financial results for the first quarter of fiscal year 2026.</w:t>
      </w:r>
    </w:p>
    <w:p>
      <w:pPr>
        <w:spacing w:after="0" w:line="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“Dine Brands reported improved comp sales versus the prior year with all brands outperforming Black Box, driven by our focus on everyday value, culturally relevant marketing, and disciplined execution,” said John Peyton, Chief Executive Officer of Dine Brands. “We’re confident in the progress of our strategy and continue to make great progress on our dual brand opportunity where we remain on track to achieve approximately 80 domestic restaurants by the end of the year.”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Vance Chang, Chief Financial Officer of Dine Brands, added, “Our continued investment in dual brand development, remodels, and our company owned portfolio is driven by the positive feedback from our franchisees and our guests. Our asset lite model allows us to fund long term value creation initiatives while providing support to our franchisees and returning capital to shareholders concurrently. We remain committed to our capital allocation priorities.”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Restaurant Sales for the First Quarter of 2026</w:t>
      </w:r>
    </w:p>
    <w:p>
      <w:pPr>
        <w:spacing w:after="0" w:line="135" w:lineRule="exact"/>
        <w:rPr>
          <w:sz w:val="20"/>
          <w:szCs w:val="20"/>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year-over-year comparable domestic same-restaurant sales increased 1.9% for the first quarter of 2026. Off-premise sales accounted for 23.9% of sales mix in the first quarter of 2026.</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IHOP’s year-over-year domestic comparable same-restaurant sales remained flat for the first quarter of 2026. Off-premise sales accounted for 21.5% of sales mix in the first quarter of 2026.</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 of 13</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of 2026 Summary</w:t>
      </w:r>
    </w:p>
    <w:p>
      <w:pPr>
        <w:spacing w:after="0" w:line="135" w:lineRule="exact"/>
        <w:rPr>
          <w:sz w:val="20"/>
          <w:szCs w:val="20"/>
          <w:color w:val="auto"/>
        </w:rPr>
      </w:pPr>
    </w:p>
    <w:p>
      <w:pPr>
        <w:ind w:left="964" w:right="12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for the first quarter of 2026 were $225.2 million compared to $214.8 million for the first quarter of 2025. The increase was primarily driven by higher company-owned restaurant sales, mainly attributable to the increase in the number and timing of when we acquired restaurants from franchisees.</w:t>
      </w:r>
    </w:p>
    <w:p>
      <w:pPr>
        <w:spacing w:after="0" w:line="81" w:lineRule="exact"/>
        <w:rPr>
          <w:rFonts w:ascii="Times New Roman" w:cs="Times New Roman" w:eastAsia="Times New Roman" w:hAnsi="Times New Roman"/>
          <w:sz w:val="18"/>
          <w:szCs w:val="18"/>
          <w:color w:val="auto"/>
        </w:rPr>
      </w:pPr>
    </w:p>
    <w:p>
      <w:pPr>
        <w:jc w:val="both"/>
        <w:ind w:left="964" w:right="40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(“G&amp;A”) expenses for the first quarter of 2026 were $53.1 million compared to $51.3 million for the first quarter of 2025. The increase was driven by employee costs as we invest in our dual-brand and company-owned restaurant initiatives.</w:t>
      </w:r>
    </w:p>
    <w:p>
      <w:pPr>
        <w:spacing w:after="0" w:line="67" w:lineRule="exact"/>
        <w:rPr>
          <w:rFonts w:ascii="Times New Roman" w:cs="Times New Roman" w:eastAsia="Times New Roman" w:hAnsi="Times New Roman"/>
          <w:sz w:val="18"/>
          <w:szCs w:val="18"/>
          <w:color w:val="auto"/>
        </w:rPr>
      </w:pPr>
    </w:p>
    <w:p>
      <w:pPr>
        <w:ind w:left="964" w:right="30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available to common stockholders was $7.2 million, or earnings per diluted share of $0.57, for the first quarter of 2026 compared to net income available to common stockholders of $7.8 million, or earnings per diluted share of $0.53 for the first quarter of 2025.</w:t>
      </w:r>
    </w:p>
    <w:p>
      <w:pPr>
        <w:spacing w:after="0" w:line="81" w:lineRule="exact"/>
        <w:rPr>
          <w:rFonts w:ascii="Times New Roman" w:cs="Times New Roman" w:eastAsia="Times New Roman" w:hAnsi="Times New Roman"/>
          <w:sz w:val="18"/>
          <w:szCs w:val="18"/>
          <w:color w:val="auto"/>
        </w:rPr>
      </w:pPr>
    </w:p>
    <w:p>
      <w:pPr>
        <w:ind w:left="964" w:right="80" w:hanging="424"/>
        <w:spacing w:after="0" w:line="224"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available to common stockholders was $11.1 million, or adjusted earnings per diluted share of $0.88, for the first quarter of 2026, compared to adjusted net income available to common stockholders of $15.4 million, or adjusted earnings per diluted share of $1.03, for the first quarter of 2025.</w:t>
      </w:r>
    </w:p>
    <w:p>
      <w:pPr>
        <w:spacing w:after="0" w:line="104"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for the first quarter of 2026 was $10.1 million compared to income before income taxes of $12.8 million for the first quarter of 2025.</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the first quarter of 2026 was $50.8 million compared to $54.7 million for the first quarter of 2025.</w:t>
      </w:r>
    </w:p>
    <w:p>
      <w:pPr>
        <w:spacing w:after="0" w:line="58" w:lineRule="exact"/>
        <w:rPr>
          <w:rFonts w:ascii="Times New Roman" w:cs="Times New Roman" w:eastAsia="Times New Roman" w:hAnsi="Times New Roman"/>
          <w:sz w:val="18"/>
          <w:szCs w:val="18"/>
          <w:color w:val="auto"/>
        </w:rPr>
      </w:pPr>
    </w:p>
    <w:p>
      <w:pPr>
        <w:ind w:left="964" w:right="540" w:hanging="424"/>
        <w:spacing w:after="0" w:line="254"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for the first quarter of 2026 were $7.5 million. This compares to cash flows provided by operating activities of $16.1 million for the first quarter of 2025. The decrease was primarily due to the year over year impact of performance plan compensation payments.</w:t>
      </w:r>
    </w:p>
    <w:p>
      <w:pPr>
        <w:spacing w:after="0" w:line="92" w:lineRule="exact"/>
        <w:rPr>
          <w:rFonts w:ascii="Times New Roman" w:cs="Times New Roman" w:eastAsia="Times New Roman" w:hAnsi="Times New Roman"/>
          <w:sz w:val="18"/>
          <w:szCs w:val="18"/>
          <w:color w:val="auto"/>
        </w:rPr>
      </w:pPr>
    </w:p>
    <w:p>
      <w:pPr>
        <w:ind w:left="964" w:right="120" w:hanging="424"/>
        <w:spacing w:after="0" w:line="213"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was negative $3.0 million for the first quarter of 2026. This compares to adjusted free cash flow of $14.6 million for the first quarter of 2025.</w:t>
      </w:r>
    </w:p>
    <w:p>
      <w:pPr>
        <w:spacing w:after="0" w:line="104" w:lineRule="exact"/>
        <w:rPr>
          <w:rFonts w:ascii="Times New Roman" w:cs="Times New Roman" w:eastAsia="Times New Roman" w:hAnsi="Times New Roman"/>
          <w:sz w:val="18"/>
          <w:szCs w:val="18"/>
          <w:color w:val="auto"/>
        </w:rPr>
      </w:pPr>
    </w:p>
    <w:p>
      <w:pPr>
        <w:ind w:left="964" w:right="54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activity by Applebee’s and IHOP for the first quarter of 2026 resulted in 24 new restaurant openings and 40 restaurant closures.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27.3% for the three months ended March 29, 2026, as compared to 35.9% for the three months ended March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right="34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“Non-GAAP Financial Measures” for reconciliation of GAAP net income (loss) available to common stockholders to adjusted net income available to common stockholders.</w:t>
      </w:r>
    </w:p>
    <w:p>
      <w:pPr>
        <w:ind w:left="424" w:hanging="424"/>
        <w:spacing w:after="0" w:line="181"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“Non-GAAP Financial Measures” for reconciliation of GAAP net income (loss) to consolidated adjusted EBITDA.</w:t>
      </w:r>
    </w:p>
    <w:p>
      <w:pPr>
        <w:ind w:left="424" w:hanging="424"/>
        <w:spacing w:after="0" w:line="181"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“Non-GAAP Financial Measures” for reconciliation of the Company’s cash flows provided by operating activities to adjusted free cash flow.</w:t>
      </w:r>
    </w:p>
    <w:p>
      <w:pPr>
        <w:spacing w:after="0" w:line="126" w:lineRule="exact"/>
        <w:rPr>
          <w:rFonts w:ascii="Times New Roman" w:cs="Times New Roman" w:eastAsia="Times New Roman" w:hAnsi="Times New Roman"/>
          <w:sz w:val="25"/>
          <w:szCs w:val="25"/>
          <w:color w:val="auto"/>
          <w:vertAlign w:val="superscript"/>
        </w:rPr>
      </w:pPr>
    </w:p>
    <w:p>
      <w:pPr>
        <w:ind w:left="1008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color w:val="auto"/>
        </w:rPr>
        <w:t>Page 2 of 13</w:t>
      </w:r>
    </w:p>
    <w:p>
      <w:pPr>
        <w:sectPr>
          <w:pgSz w:w="11900" w:h="16838" w:orient="portrait"/>
          <w:cols w:equalWidth="0" w:num="1">
            <w:col w:w="11024"/>
          </w:cols>
          <w:pgMar w:left="436"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 Balance Sheet Metrics (as of March 29, 2026)</w:t>
      </w:r>
    </w:p>
    <w:p>
      <w:pPr>
        <w:spacing w:after="0" w:line="135" w:lineRule="exact"/>
        <w:rPr>
          <w:sz w:val="20"/>
          <w:szCs w:val="20"/>
          <w:color w:val="auto"/>
        </w:rPr>
      </w:pPr>
    </w:p>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cash equivalents and restricted cash of approximately $172.9 million, of which approximately $104.2 million was unrestricted cash.</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borrowing capacity under the 2025 Variable Funding Senior Notes, Class A-1 is approximately $225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 to Equity Holders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the Company repurchased approximately $22 million of its common stock and paid approximately $2.5 million in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Guidance for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reiterated its fiscal 2026 guidance items:</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domestic system-wide comparable same-restaurant sales performance is expected to range between 0% and 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IHOP’s domestic system-wide comparable same-restaurant sales performance is expected to range between 0% and 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development activity for Applebee’s is expected to be between 15 and 5 net fewer restaurants.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development activity for IHOP is expected to be between 10 net fewer restaurants and 10 net new openings.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domestic development activity includes at least 50 domestic dual-branded openings, primarily driven by franchisees.</w:t>
      </w:r>
    </w:p>
    <w:p>
      <w:pPr>
        <w:spacing w:after="0" w:line="130" w:lineRule="exact"/>
        <w:rPr>
          <w:rFonts w:ascii="Times New Roman" w:cs="Times New Roman" w:eastAsia="Times New Roman" w:hAnsi="Times New Roman"/>
          <w:sz w:val="18"/>
          <w:szCs w:val="18"/>
          <w:color w:val="auto"/>
        </w:rPr>
      </w:pPr>
    </w:p>
    <w:p>
      <w:pPr>
        <w:jc w:val="both"/>
        <w:ind w:left="960" w:right="50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is expected to range between approximately $220 million and $230 million. Our outlook reflects the positive trends in our franchise business and modest improvement in our company-owned restaurants which is based on our existing portfolio.</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expenses are expected to range between approximately $205 million and $210 million. This total includes non-cash stock-based compensation expense and depreciation of approximately $35 million.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range between approximately $25 million and $35 million.</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Dine Brands does not provide forward-looking guidance for GAAP net income because it is unable to predict certain items contained in the GAAP measure without unreasonable efforts. These items may include closure and impairment charges, loss on extinguishment of debt, gain or loss on disposition of assets, other non-income-based taxes and other items deemed not reflective of current operations.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 of 13</w:t>
      </w:r>
    </w:p>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Quarter of 2026 Earnings Conference Call Details</w:t>
      </w:r>
    </w:p>
    <w:p>
      <w:pPr>
        <w:spacing w:after="0" w:line="11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 xml:space="preserve">Dine Brands will host a conference call to discuss its results on </w:t>
      </w:r>
      <w:r>
        <w:rPr>
          <w:rFonts w:ascii="Times New Roman" w:cs="Times New Roman" w:eastAsia="Times New Roman" w:hAnsi="Times New Roman"/>
          <w:sz w:val="18"/>
          <w:szCs w:val="18"/>
          <w:b w:val="1"/>
          <w:bCs w:val="1"/>
          <w:color w:val="auto"/>
        </w:rPr>
        <w:t>May 6, 2026, at 11:00 a.m. Eastern time</w:t>
      </w:r>
      <w:r>
        <w:rPr>
          <w:rFonts w:ascii="Times New Roman" w:cs="Times New Roman" w:eastAsia="Times New Roman" w:hAnsi="Times New Roman"/>
          <w:sz w:val="18"/>
          <w:szCs w:val="18"/>
          <w:color w:val="auto"/>
        </w:rPr>
        <w:t xml:space="preserve">. A live webcast of the call, along with a replay will be available for a limited time at </w:t>
      </w:r>
      <w:r>
        <w:rPr>
          <w:rFonts w:ascii="Times New Roman" w:cs="Times New Roman" w:eastAsia="Times New Roman" w:hAnsi="Times New Roman"/>
          <w:sz w:val="18"/>
          <w:szCs w:val="18"/>
          <w:u w:val="single" w:color="auto"/>
          <w:color w:val="auto"/>
        </w:rPr>
        <w:t>https://investors.dinebrands.com</w:t>
      </w:r>
      <w:r>
        <w:rPr>
          <w:rFonts w:ascii="Times New Roman" w:cs="Times New Roman" w:eastAsia="Times New Roman" w:hAnsi="Times New Roman"/>
          <w:sz w:val="18"/>
          <w:szCs w:val="18"/>
          <w:color w:val="auto"/>
        </w:rPr>
        <w:t>. Participants should allow approximately ten minutes prior to the call’s start time to visit the site and download any streaming media software needed to listen to the webcast. An online archive of the webcast will also be available on Events &amp; Presentations under the Investors section of the Company’s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Dine Brands Global, Inc.</w:t>
      </w:r>
    </w:p>
    <w:p>
      <w:pPr>
        <w:spacing w:after="0" w:line="12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Based in Pasadena, California, Dine Brands Global, Inc. (NYSE: DIN), through its subsidiaries and franchisees, supports and operates restaurants under the Applebee’s Neighborhood Grill + Bar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Fuzzy’s Taco Shop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As of March 29, 2026, these three brands comprised nearly 3,500 restaurants across 19 international markets. Dine Brands is one of the largest full-service restaurant companies in the world and in 2022 expanded into the Fast Casual segment. For more information on Dine Brands, visit the Company’s website located at </w:t>
      </w:r>
      <w:r>
        <w:rPr>
          <w:rFonts w:ascii="Times New Roman" w:cs="Times New Roman" w:eastAsia="Times New Roman" w:hAnsi="Times New Roman"/>
          <w:sz w:val="18"/>
          <w:szCs w:val="18"/>
          <w:u w:val="single" w:color="auto"/>
          <w:color w:val="auto"/>
        </w:rPr>
        <w:t>www.dinebrands.com</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Statements contained in this press release may constitute “forward-looking statements” within the meaning of Section 27A of the Securities Act of 1933, as amended, and Section 21E of the Securities Exchange Act of 1934, as amended. You can identify these forward-looking statements by words such as “may,” “will,” “would,” “should,” “could,” “expect,” “anticipate,” “believe,” “estimate,” “intend,” “plan,” “goal” and other similar expressions. 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shares;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Company’s Annual and Quarterly Reports on Forms 10-K and 10-Q and in the Company’s other filings with the Securities and Exchange Commission.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 of 13</w:t>
      </w:r>
    </w:p>
    <w:p>
      <w:pPr>
        <w:sectPr>
          <w:pgSz w:w="11900" w:h="16838" w:orient="portrait"/>
          <w:cols w:equalWidth="0" w:num="1">
            <w:col w:w="11020"/>
          </w:cols>
          <w:pgMar w:left="440" w:top="266"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includes references to the Company’s non-GAAP financial measures “adjusted net income available to common stockholders”, “adjusted earnings per diluted share (Adjusted EPS)”, “Adjusted EBITDA” and “Adjusted free cash flow.” Adjusted EPS is computed for a given period by deducting from net income or loss available to common stockholders for such period the effect of any closure and impairment charges, any intangible asset amortization, any non-cash interest expense, any gain or loss related to the disposition of assets, any gain or loss related to debt extinguishment, and other items deemed not reflective of current operations. This is presented on an aggregate basis and a per share (diluted) basis. Adjusted EBITDA is computed for a given period by deducting from net income or loss for such period the effect of any interest expense, any income tax provision or benefit, any depreciation and amortization, any non-cash stock-based compensation, any closure and impairment charges, any gain or loss related to debt extinguishment, any gain or loss related to the disposition of assets, and other items deemed not reflective of current operations. “Adjusted free cash flow” for a given period is defined as cash provided by operating activities, plus receipts from notes and equipment contracts receivable, less capital expenditures. Management may use certain of these non-GAAP financial measures along with the corresponding U.S. GAAP measures to evaluate the performance of the business and to make certain business decisions. Management uses adjusted free cash flow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 Management believes that these non-GAAP financial measures provide additional meaningful information that should be considered when assessing the business and the Company’s performance compared to prior periods and the marketplace. Adjusted EPS and adjusted free cash flow are supplemental non-GAAP financial measures and should not be considered in isolation or as a substitute for measures of performance prepared in accordance with U.S. GAAP.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FBN-R</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 of 13</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9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Royalties, franchise fees and other</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Advertising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franchise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Company-owned restaurant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Advertising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franchise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Company-owned restaurant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income allocated to unvested restricted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 of 13</w:t>
      </w:r>
    </w:p>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ind w:left="35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104.2</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net of allowance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347.9</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249.6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165.3</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receivables, net of allowance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57.7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6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r>
              <w:rPr>
                <w:rFonts w:ascii="Times New Roman" w:cs="Times New Roman" w:eastAsia="Times New Roman" w:hAnsi="Times New Roman"/>
                <w:sz w:val="18"/>
                <w:szCs w:val="18"/>
                <w:u w:val="single" w:color="auto"/>
                <w:color w:val="auto"/>
              </w:rPr>
              <w:t>7</w:t>
            </w:r>
          </w:p>
        </w:tc>
        <w:tc>
          <w:tcPr>
            <w:tcW w:w="6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7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74.4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Gift card liability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156.4</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portion of operating leases obligations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67.9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franchise revenue, short-term</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1,188.8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323.3</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49.1</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revenue, long-term</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1,978.7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2,011.6</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221.5</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180.0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(691.7)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1,688.</w:t>
            </w:r>
            <w:r>
              <w:rPr>
                <w:rFonts w:ascii="Times New Roman" w:cs="Times New Roman" w:eastAsia="Times New Roman" w:hAnsi="Times New Roman"/>
                <w:sz w:val="18"/>
                <w:szCs w:val="18"/>
                <w:u w:val="single" w:color="auto"/>
                <w:color w:val="auto"/>
              </w:rPr>
              <w:t>7</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7 of 13</w:t>
      </w:r>
    </w:p>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9320" w:type="dxa"/>
            <w:vAlign w:val="bottom"/>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9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impairment and closure charges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Gift cards receivables and payables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payments on finance lease and financing obligations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Repurchase of restricted stock for tax payments upon vesting</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r>
      <w:tr>
        <w:trPr>
          <w:trHeight w:val="223"/>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8 of 13</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Reconciliation of net income available to common stockholders to net income available to common stockholders, as adjusted for the following items: Closure and impairment charges; amortization of intangible assets; non-cash interest expenses; gain or loss on disposition of assets; loss on extinguishment of debt; other EBITDA adjustments; and the combined tax effect of the preceding adjustments, as well as related per share data:</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EBITDA adjustments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tax provision for above adjustments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allocated to unvested restricted stock</w:t>
            </w:r>
          </w:p>
        </w:tc>
        <w:tc>
          <w:tcPr>
            <w:tcW w:w="3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as adjusted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available to common stockholders per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180"/>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6"/>
                <w:szCs w:val="26"/>
                <w:b w:val="1"/>
                <w:bCs w:val="1"/>
                <w:color w:val="auto"/>
                <w:vertAlign w:val="superscript"/>
              </w:rPr>
              <w:t>(a)</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0.59</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EBITDA adjustments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allocated to unvested restricted stock</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Rounding</w:t>
            </w:r>
          </w:p>
        </w:tc>
        <w:tc>
          <w:tcPr>
            <w:tcW w:w="3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4"/>
        </w:trPr>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available to common stockholders per</w:t>
            </w: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 as adjusted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0.88</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EPS - net income available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stockholders, as adjusted</w:t>
            </w: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11.1</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shares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unvested restricted stock</w:t>
            </w: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EPS - weighted-average shares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available to common stockholders per share presented on an after-tax basis.</w:t>
      </w:r>
    </w:p>
    <w:p>
      <w:pPr>
        <w:sectPr>
          <w:pgSz w:w="11900" w:h="16838" w:orient="portrait"/>
          <w:cols w:equalWidth="0" w:num="1">
            <w:col w:w="10764"/>
          </w:cols>
          <w:pgMar w:left="436" w:top="266" w:right="69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 of the Company’s cash flows provided by operating activities to “adjusted free cash flow” (cash flows provided by operating activities, plus receipts from notes and equipment contracts receivable, less additions to property and equipment). Management uses this liquidity measure in its periodic assessments of, among other things, the amount of cash dividends per share of common stock and repurchases of common stock. We believe it is important for investors to have the same measure used by management for that purpose. Adjusted free cash flow does not represent residual cash flow available for discretionary purposes.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74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340" w:type="dxa"/>
            <w:vAlign w:val="bottom"/>
          </w:tcPr>
          <w:p>
            <w:pPr>
              <w:spacing w:after="0"/>
              <w:rPr>
                <w:sz w:val="18"/>
                <w:szCs w:val="18"/>
                <w:color w:val="auto"/>
              </w:rPr>
            </w:pPr>
          </w:p>
        </w:tc>
        <w:tc>
          <w:tcPr>
            <w:tcW w:w="14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5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 of the Company’s net income to “adjusted EBITDA.” The Company defines adjusted EBITDA as net income or loss, adjusted for the effect of interest expense, income tax provision or benefit, depreciation and amortization, non-cash stock-based compensation, closure and impairment charges, loss on extinguishment of debt, gain or loss on disposition of assets, executive separation pay, and other items deemed not reflective of current operations. Management may use certain non-GAAP measures along with the corresponding U.S. GAAP measures to evaluate the performance of the Company and to make certain business decisions.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3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charges on finance leases</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interest charges</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6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880"/>
          </w:cols>
          <w:pgMar w:left="440" w:top="266" w:right="579" w:bottom="1440" w:gutter="0" w:footer="0" w:header="0"/>
        </w:sectPr>
      </w:pPr>
    </w:p>
    <w:bookmarkStart w:id="15" w:name="page16"/>
    <w:bookmarkEnd w:id="1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IHOP</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4"/>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4"/>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System Sales (in millions)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857.0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1,053.7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1,055.1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1,082.4</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1,075.2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same-restaurant sales change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Same-restaurant sales change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Franchise</w:t>
            </w:r>
            <w:r>
              <w:rPr>
                <w:rFonts w:ascii="Times New Roman" w:cs="Times New Roman" w:eastAsia="Times New Roman" w:hAnsi="Times New Roman"/>
                <w:sz w:val="25"/>
                <w:szCs w:val="25"/>
                <w:b w:val="1"/>
                <w:bCs w:val="1"/>
                <w:color w:val="auto"/>
                <w:vertAlign w:val="superscript"/>
              </w:rPr>
              <w:t>(a)</w:t>
            </w: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same-restaurant sales change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Same-restaurant sales change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b w:val="1"/>
                <w:bCs w:val="1"/>
                <w:color w:val="auto"/>
              </w:rPr>
              <w:t>Franchise</w:t>
            </w:r>
            <w:r>
              <w:rPr>
                <w:rFonts w:ascii="Times New Roman" w:cs="Times New Roman" w:eastAsia="Times New Roman" w:hAnsi="Times New Roman"/>
                <w:sz w:val="25"/>
                <w:szCs w:val="25"/>
                <w:color w:val="auto"/>
                <w:vertAlign w:val="superscript"/>
              </w:rPr>
              <w:t>(b)</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Beginning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Opened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Closed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line="223" w:lineRule="exact"/>
              <w:rPr>
                <w:sz w:val="20"/>
                <w:szCs w:val="20"/>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25"/>
                <w:szCs w:val="25"/>
                <w:color w:val="auto"/>
                <w:vertAlign w:val="superscript"/>
              </w:rPr>
              <w:t>(b)</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Beginning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Opened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Closed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Ending</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1,818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1,569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Net Development</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66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franchise sales percentage change and average weekly unit sales excludes closed restaurants and franchise restaurants acquired by the Company.</w:t>
      </w:r>
    </w:p>
    <w:p>
      <w:pPr>
        <w:ind w:left="424" w:right="22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IHOP franchise restaurants closed and IHOP company-owned restaurants opened are 10 restaurants acquired by the Company in March 2025. Included in the Applebee’s franchise restaurants closed and Applebee’s company-owned restaurants opened are 12 restaurants acquired by the Company in March 2026.</w:t>
      </w:r>
    </w:p>
    <w:p>
      <w:pPr>
        <w:spacing w:after="0" w:line="186"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Dual-branded restaurants are defined as restaurants that operate our IHOP and Applebee’s restaurant concepts under two separate franchise agreements but within one restaurant location. Because of this, each dual-branded restaurant is counted in both IHOP and Applebee’s restaurant count and activity.</w:t>
      </w:r>
    </w:p>
    <w:p>
      <w:pPr>
        <w:sectPr>
          <w:pgSz w:w="11900" w:h="16838" w:orient="portrait"/>
          <w:cols w:equalWidth="0" w:num="1">
            <w:col w:w="11024"/>
          </w:cols>
          <w:pgMar w:left="436" w:top="266"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of March 29, 2026, we had 35 dual-branded domestic IHOP and Applebee’s restaurant locations. During the three months ended March 29, 2026, we had two existing company-owned Applebee’s restaurants which added IHOP restaurants, three existing franchise Applebee’s restaurants which added IHOP restaurants, one existing franchise IHOP restaurant which added an Applebee’s restaurant, and two new franchise restaurants which added to both brands. This totaled 10 dual-branded domestic openings.</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30, 2025, we had one existing franchise IHOP restaurant which added an Applebee’s restaurant for a total of one dual-branded opening.</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29, 2026, we had 37 dual-branded international IHOP and Applebee’s restaurant locations. During the three months ended March 29, 2026, we had five new franchise restaurants which added to both brands. This totaled 10 dual-branded international openings.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30, 2025, we had 19 dual-branded international IHOP and Applebee’s restaurant locations. During the three months ended March 30, 2025, we had one existing franchise Applebee’s restaurant which added an IHOP restaurant for a total of one dual-branded international opening.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effects on the domestic and international restaurant count methodology described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7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IHOP</w:t>
            </w:r>
          </w:p>
        </w:tc>
        <w:tc>
          <w:tcPr>
            <w:tcW w:w="18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Dual-Branded</w:t>
            </w:r>
          </w:p>
        </w:tc>
        <w:tc>
          <w:tcPr>
            <w:tcW w:w="16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40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8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Development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1,814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1,569</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1,594</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3,408</w:t>
            </w:r>
          </w:p>
        </w:tc>
      </w:tr>
      <w:tr>
        <w:trPr>
          <w:trHeight w:val="216"/>
        </w:trPr>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Domestic Dual-Branded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Franchise</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Company</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International Dual-Branded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Franchise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Locations</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1,794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1,497</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1,574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3,315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3,388</w:t>
            </w:r>
          </w:p>
        </w:tc>
      </w:tr>
      <w:tr>
        <w:trPr>
          <w:trHeight w:val="20"/>
        </w:trPr>
        <w:tc>
          <w:tcPr>
            <w:tcW w:w="4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our dual-branded business expands, we may reevaluate how these restaurants are counted in future disclosures.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2026-05-06T14:24:16Z</dcterms:created>
  <dcterms:modified xsi:type="dcterms:W3CDTF">2026-05-06T14:24:16Z</dcterms:modified>
</cp:coreProperties>
</file>