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Berk Howard M</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 WEST WALNUT STREET</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5TH FLOOR</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PASADENA</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91103</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Dine Brands Global, Inc.</w:t>
              </w:r>
            </w:hyperlink>
            <w:r>
              <w:rPr/>
              <w:t xml:space="preserve"> [ </w:t>
            </w:r>
            <w:r>
              <w:rPr>
                <w:rFonts w:ascii="Times;serif" w:hAnsi="Times;serif"/>
                <w:color w:val="0000FF"/>
                <w:sz w:val="24"/>
                <w:shd w:fill="FFFFFF" w:val="clear"/>
              </w:rPr>
              <w:t>DIN</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07/10/2026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78"/>
        <w:gridCol w:w="906"/>
        <w:gridCol w:w="774"/>
        <w:gridCol w:w="602"/>
        <w:gridCol w:w="355"/>
        <w:gridCol w:w="829"/>
        <w:gridCol w:w="473"/>
        <w:gridCol w:w="635"/>
        <w:gridCol w:w="1195"/>
        <w:gridCol w:w="1021"/>
        <w:gridCol w:w="93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7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3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9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2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78"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602"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9"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73"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3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9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02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7"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12299" w:type="dxa"/>
        <w:jc w:val="left"/>
        <w:tblInd w:w="-7" w:type="dxa"/>
        <w:tblLayout w:type="fixed"/>
        <w:tblCellMar>
          <w:top w:w="60" w:type="dxa"/>
          <w:left w:w="60" w:type="dxa"/>
          <w:bottom w:w="60" w:type="dxa"/>
          <w:right w:w="60" w:type="dxa"/>
        </w:tblCellMar>
      </w:tblPr>
      <w:tblGrid>
        <w:gridCol w:w="1055"/>
        <w:gridCol w:w="861"/>
        <w:gridCol w:w="891"/>
        <w:gridCol w:w="771"/>
        <w:gridCol w:w="591"/>
        <w:gridCol w:w="300"/>
        <w:gridCol w:w="711"/>
        <w:gridCol w:w="276"/>
        <w:gridCol w:w="906"/>
        <w:gridCol w:w="801"/>
        <w:gridCol w:w="891"/>
        <w:gridCol w:w="801"/>
        <w:gridCol w:w="801"/>
        <w:gridCol w:w="966"/>
        <w:gridCol w:w="831"/>
        <w:gridCol w:w="846"/>
      </w:tblGrid>
      <w:tr>
        <w:trPr>
          <w:tblHeader w:val="true"/>
        </w:trPr>
        <w:tc>
          <w:tcPr>
            <w:tcW w:w="1229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105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98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6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6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105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71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6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105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Units (Dividend Equivalent Rights)</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07/10/2026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19.242</w:t>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(2)</w:t>
            </w:r>
            <w:r>
              <w:rPr/>
              <w:t xml:space="preserve"> </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(2)</w:t>
            </w:r>
            <w:r>
              <w:rPr/>
              <w:t xml:space="preserve"> </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19.242</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0.00</w:t>
            </w:r>
            <w:r>
              <w:rPr/>
              <w:t xml:space="preserve"> </w:t>
            </w:r>
          </w:p>
        </w:tc>
        <w:tc>
          <w:tcPr>
            <w:tcW w:w="96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3,635.649</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Each dividend equivalent right is the economic equivalent of one share of common stock.</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Represents dividend equivalent rights that accrued on the underlying award of restricted stock units. Dividend equivalent rights accrue when and as dividends are paid on the common stock underlying the applicable restricted stock units and vest proportionately with and are subject to settlement and expiration upon the same terms as the restricted stock units to which they relate.</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Christine K. Son as attorney-in-fact for Howard M. Berk</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07/14/2026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456517" TargetMode="External"/><Relationship Id="rId5" Type="http://schemas.openxmlformats.org/officeDocument/2006/relationships/hyperlink" Target="http://www.sec.gov/cgi-bin/browse-edgar?action=getcompany&amp;CIK=0000049754"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649</Words>
  <Characters>3520</Characters>
  <CharactersWithSpaces>4106</CharactersWithSpaces>
  <Paragraphs>100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