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496d8k.htm"/>
      <w:bookmarkStart w:id="1" w:name="ksd1524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May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Dine Brands Global,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3" w:type="dxa"/>
        <w:jc w:val="left"/>
        <w:tblInd w:w="0" w:type="dxa"/>
        <w:tblLayout w:type="fixed"/>
        <w:tblCellMar>
          <w:top w:w="0" w:type="dxa"/>
          <w:left w:w="0" w:type="dxa"/>
          <w:bottom w:w="0" w:type="dxa"/>
          <w:right w:w="0" w:type="dxa"/>
        </w:tblCellMar>
      </w:tblPr>
      <w:tblGrid>
        <w:gridCol w:w="2790"/>
        <w:gridCol w:w="61"/>
        <w:gridCol w:w="1082"/>
        <w:gridCol w:w="60"/>
        <w:gridCol w:w="1370"/>
      </w:tblGrid>
      <w:tr>
        <w:trPr/>
        <w:tc>
          <w:tcPr>
            <w:tcW w:w="27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90" w:type="dxa"/>
            <w:tcBorders/>
            <w:vAlign w:val="center"/>
          </w:tcPr>
          <w:p>
            <w:pPr>
              <w:pStyle w:val="TableContents"/>
              <w:bidi w:val="0"/>
              <w:spacing w:before="0" w:after="283"/>
              <w:jc w:val="center"/>
              <w:rPr>
                <w:b/>
              </w:rPr>
            </w:pPr>
            <w:r>
              <w:rPr>
                <w:b/>
              </w:rPr>
              <w:t>Delaware</w:t>
            </w:r>
          </w:p>
        </w:tc>
        <w:tc>
          <w:tcPr>
            <w:tcW w:w="61"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center"/>
              <w:rPr>
                <w:b/>
              </w:rPr>
            </w:pPr>
            <w:r>
              <w:rPr>
                <w:b/>
              </w:rPr>
              <w:t>001-15283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95-3038279</w:t>
            </w:r>
          </w:p>
        </w:tc>
      </w:tr>
      <w:tr>
        <w:trPr/>
        <w:tc>
          <w:tcPr>
            <w:tcW w:w="2790" w:type="dxa"/>
            <w:tcBorders/>
            <w:vAlign w:val="center"/>
          </w:tcPr>
          <w:p>
            <w:pPr>
              <w:pStyle w:val="TableContents"/>
              <w:bidi w:val="0"/>
              <w:spacing w:before="0" w:after="283"/>
              <w:jc w:val="center"/>
              <w:rPr>
                <w:b/>
              </w:rPr>
            </w:pPr>
            <w:r>
              <w:rPr>
                <w:b/>
              </w:rPr>
              <w:t>(State or other jurisdiction</w:t>
              <w:br/>
              <w:t>of incorporation)</w:t>
            </w:r>
          </w:p>
        </w:tc>
        <w:tc>
          <w:tcPr>
            <w:tcW w:w="61"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10 West Walnut Street, 5th Floor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Pasadena,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91103</w:t>
            </w:r>
          </w:p>
        </w:tc>
      </w:tr>
      <w:tr>
        <w:trPr/>
        <w:tc>
          <w:tcPr>
            <w:tcW w:w="393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(818) 240-6055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3065"/>
        <w:gridCol w:w="60"/>
        <w:gridCol w:w="710"/>
        <w:gridCol w:w="60"/>
        <w:gridCol w:w="266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065"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DIN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Dine Brands Global, Inc. (the “Corporation”) held its 2026 Annual Meeting of Stockholders (the “Annual Meeting”) on May 14, 2026. The following matters set forth in the Corporation’s Proxy Statement dated March 27, 2026, which was filed with the Securities and Exchange Commission pursuant to Regulation 14A under the Securities Exchange Act of 1934, were voted upon with the results indicated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One: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nominees listed below were elected to serve as directors for a one-year term with the respective votes set forth opposite their names: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1805"/>
        <w:gridCol w:w="120"/>
        <w:gridCol w:w="60"/>
        <w:gridCol w:w="980"/>
        <w:gridCol w:w="60"/>
        <w:gridCol w:w="120"/>
        <w:gridCol w:w="60"/>
        <w:gridCol w:w="800"/>
        <w:gridCol w:w="60"/>
        <w:gridCol w:w="120"/>
        <w:gridCol w:w="60"/>
        <w:gridCol w:w="800"/>
        <w:gridCol w:w="60"/>
        <w:gridCol w:w="120"/>
        <w:gridCol w:w="109"/>
        <w:gridCol w:w="1786"/>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Howard M. Berk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7,254,230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415,793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119,722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2,426,174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Amanda Clark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7,120,857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331,116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2,426,174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Michael C. Hyter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7,279,540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119,528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2,426,174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Douglas M. Pasquale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7,283,053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419,048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2,426,174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John W. Peyton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7,307,400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120,183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2,426,174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Martha C. Poulter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7,307,849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363,066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2,426,174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Matthew T. Ryan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7,313,621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356,622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2,426,174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Enrique Silva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7,331,876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338,377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119,492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2,426,174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Arthur F. Starrs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7,332,324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340,554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2,426,174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Lilian C. Tomovich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7,060,729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395,856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333,160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2,426,174</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Two: Ratification of the Appointment of KPMG LLP as the Corporation’s Independent Auditor for the 2026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ratified the appointment of KPMG LLP as independent auditor of the Corporation for the 2026 fiscal year. The voting results are set forth below: </w:t>
      </w:r>
    </w:p>
    <w:p>
      <w:pPr>
        <w:pStyle w:val="TextBody"/>
        <w:bidi w:val="0"/>
        <w:spacing w:before="0" w:after="0"/>
        <w:jc w:val="left"/>
        <w:rPr/>
      </w:pPr>
      <w:r>
        <w:rPr/>
        <w:t> </w:t>
      </w:r>
    </w:p>
    <w:tbl>
      <w:tblPr>
        <w:tblW w:w="4700" w:type="dxa"/>
        <w:jc w:val="left"/>
        <w:tblInd w:w="0" w:type="dxa"/>
        <w:tblLayout w:type="fixed"/>
        <w:tblCellMar>
          <w:top w:w="0" w:type="dxa"/>
          <w:left w:w="0" w:type="dxa"/>
          <w:bottom w:w="0" w:type="dxa"/>
          <w:right w:w="0" w:type="dxa"/>
        </w:tblCellMar>
      </w:tblPr>
      <w:tblGrid>
        <w:gridCol w:w="995"/>
        <w:gridCol w:w="60"/>
        <w:gridCol w:w="800"/>
        <w:gridCol w:w="60"/>
        <w:gridCol w:w="81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Broker Non-Votes</w:t>
            </w:r>
          </w:p>
        </w:tc>
      </w:tr>
      <w:tr>
        <w:trPr/>
        <w:tc>
          <w:tcPr>
            <w:tcW w:w="995" w:type="dxa"/>
            <w:tcBorders/>
            <w:shd w:fill="CCEEFF" w:val="clear"/>
            <w:vAlign w:val="center"/>
          </w:tcPr>
          <w:p>
            <w:pPr>
              <w:pStyle w:val="TableContents"/>
              <w:bidi w:val="0"/>
              <w:spacing w:before="0" w:after="283"/>
              <w:jc w:val="center"/>
              <w:rPr/>
            </w:pPr>
            <w:r>
              <w:rPr/>
              <w:t>9,728,152</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59,013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428,754</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Three: Approval, on an Advisory Basis, of the Compensation of the Corporation’s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approved, on an advisory basis, the compensation of the Corporation’s named executive officers as disclosed in the Proxy Statement. The voting results are set forth below: </w:t>
      </w:r>
    </w:p>
    <w:p>
      <w:pPr>
        <w:pStyle w:val="TextBody"/>
        <w:bidi w:val="0"/>
        <w:spacing w:before="0" w:after="0"/>
        <w:jc w:val="left"/>
        <w:rPr/>
      </w:pPr>
      <w:r>
        <w:rPr/>
        <w:t> </w:t>
      </w:r>
    </w:p>
    <w:tbl>
      <w:tblPr>
        <w:tblW w:w="4880" w:type="dxa"/>
        <w:jc w:val="left"/>
        <w:tblInd w:w="0" w:type="dxa"/>
        <w:tblLayout w:type="fixed"/>
        <w:tblCellMar>
          <w:top w:w="0" w:type="dxa"/>
          <w:left w:w="0" w:type="dxa"/>
          <w:bottom w:w="0" w:type="dxa"/>
          <w:right w:w="0" w:type="dxa"/>
        </w:tblCellMar>
      </w:tblPr>
      <w:tblGrid>
        <w:gridCol w:w="995"/>
        <w:gridCol w:w="60"/>
        <w:gridCol w:w="980"/>
        <w:gridCol w:w="60"/>
        <w:gridCol w:w="81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Broker Non-Votes</w:t>
            </w:r>
          </w:p>
        </w:tc>
      </w:tr>
      <w:tr>
        <w:trPr/>
        <w:tc>
          <w:tcPr>
            <w:tcW w:w="995" w:type="dxa"/>
            <w:tcBorders/>
            <w:shd w:fill="CCEEFF" w:val="clear"/>
            <w:vAlign w:val="center"/>
          </w:tcPr>
          <w:p>
            <w:pPr>
              <w:pStyle w:val="TableContents"/>
              <w:bidi w:val="0"/>
              <w:spacing w:before="0" w:after="283"/>
              <w:jc w:val="center"/>
              <w:rPr/>
            </w:pPr>
            <w:r>
              <w:rPr/>
              <w:t>6,168,102</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1,131,217</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490,425</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2,426,174</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Proposal Four: Approval, on an Advisory Basis, to Provide Stockholders the Right to Call a Special Meeting of the Stockholders at a 25% Ownership Threshold.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approved, on an advisory basis, the right of stockholders to call a special meeting of the stockholders at a 25% ownership threshold. The voting results are set forth below: </w:t>
      </w:r>
    </w:p>
    <w:p>
      <w:pPr>
        <w:pStyle w:val="TextBody"/>
        <w:bidi w:val="0"/>
        <w:spacing w:before="0" w:after="0"/>
        <w:jc w:val="left"/>
        <w:rPr/>
      </w:pPr>
      <w:r>
        <w:rPr/>
        <w:t> </w:t>
      </w:r>
    </w:p>
    <w:tbl>
      <w:tblPr>
        <w:tblW w:w="4880" w:type="dxa"/>
        <w:jc w:val="left"/>
        <w:tblInd w:w="0" w:type="dxa"/>
        <w:tblLayout w:type="fixed"/>
        <w:tblCellMar>
          <w:top w:w="0" w:type="dxa"/>
          <w:left w:w="0" w:type="dxa"/>
          <w:bottom w:w="0" w:type="dxa"/>
          <w:right w:w="0" w:type="dxa"/>
        </w:tblCellMar>
      </w:tblPr>
      <w:tblGrid>
        <w:gridCol w:w="995"/>
        <w:gridCol w:w="60"/>
        <w:gridCol w:w="980"/>
        <w:gridCol w:w="60"/>
        <w:gridCol w:w="81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Broker Non-Votes</w:t>
            </w:r>
          </w:p>
        </w:tc>
      </w:tr>
      <w:tr>
        <w:trPr/>
        <w:tc>
          <w:tcPr>
            <w:tcW w:w="995" w:type="dxa"/>
            <w:tcBorders/>
            <w:shd w:fill="CCEEFF" w:val="clear"/>
            <w:vAlign w:val="center"/>
          </w:tcPr>
          <w:p>
            <w:pPr>
              <w:pStyle w:val="TableContents"/>
              <w:bidi w:val="0"/>
              <w:spacing w:before="0" w:after="283"/>
              <w:jc w:val="center"/>
              <w:rPr/>
            </w:pPr>
            <w:r>
              <w:rPr/>
              <w:t>5,130,454</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2,088,982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570,308</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2,426,174</w:t>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 Five: Stockholder Proposal Regarding the Right of Stockholders to Call a Special Meeting of Stockholders at a 15% Ownership Threshold.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did not approve the right of stockholders to call a special meeting of stockholders at a 15% ownership threshold. The voting results are set forth below: </w:t>
      </w:r>
    </w:p>
    <w:p>
      <w:pPr>
        <w:pStyle w:val="TextBody"/>
        <w:bidi w:val="0"/>
        <w:spacing w:before="0" w:after="0"/>
        <w:jc w:val="left"/>
        <w:rPr/>
      </w:pPr>
      <w:r>
        <w:rPr/>
        <w:t> </w:t>
      </w:r>
    </w:p>
    <w:tbl>
      <w:tblPr>
        <w:tblW w:w="4880" w:type="dxa"/>
        <w:jc w:val="left"/>
        <w:tblInd w:w="0" w:type="dxa"/>
        <w:tblLayout w:type="fixed"/>
        <w:tblCellMar>
          <w:top w:w="0" w:type="dxa"/>
          <w:left w:w="0" w:type="dxa"/>
          <w:bottom w:w="0" w:type="dxa"/>
          <w:right w:w="0" w:type="dxa"/>
        </w:tblCellMar>
      </w:tblPr>
      <w:tblGrid>
        <w:gridCol w:w="995"/>
        <w:gridCol w:w="60"/>
        <w:gridCol w:w="980"/>
        <w:gridCol w:w="60"/>
        <w:gridCol w:w="81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b/>
              </w:rPr>
            </w:pPr>
            <w:r>
              <w:rPr>
                <w:b/>
              </w:rPr>
              <w:t>Broker Non-Votes</w:t>
            </w:r>
          </w:p>
        </w:tc>
      </w:tr>
      <w:tr>
        <w:trPr/>
        <w:tc>
          <w:tcPr>
            <w:tcW w:w="995" w:type="dxa"/>
            <w:tcBorders/>
            <w:shd w:fill="CCEEFF" w:val="clear"/>
            <w:vAlign w:val="center"/>
          </w:tcPr>
          <w:p>
            <w:pPr>
              <w:pStyle w:val="TableContents"/>
              <w:bidi w:val="0"/>
              <w:spacing w:before="0" w:after="283"/>
              <w:jc w:val="center"/>
              <w:rPr/>
            </w:pPr>
            <w:r>
              <w:rPr/>
              <w:t>3,300,205</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4,172,782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316,758</w:t>
            </w:r>
          </w:p>
        </w:tc>
        <w:tc>
          <w:tcPr>
            <w:tcW w:w="6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center"/>
              <w:rPr/>
            </w:pPr>
            <w:r>
              <w:rPr/>
              <w:t>2,426,174</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879" w:type="dxa"/>
        <w:jc w:val="left"/>
        <w:tblInd w:w="0" w:type="dxa"/>
        <w:tblLayout w:type="fixed"/>
        <w:tblCellMar>
          <w:top w:w="0" w:type="dxa"/>
          <w:left w:w="0" w:type="dxa"/>
          <w:bottom w:w="0" w:type="dxa"/>
          <w:right w:w="0" w:type="dxa"/>
        </w:tblCellMar>
      </w:tblPr>
      <w:tblGrid>
        <w:gridCol w:w="608"/>
        <w:gridCol w:w="961"/>
        <w:gridCol w:w="370"/>
        <w:gridCol w:w="60"/>
        <w:gridCol w:w="365"/>
        <w:gridCol w:w="60"/>
        <w:gridCol w:w="3455"/>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May 19,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b/>
              </w:rPr>
            </w:pPr>
            <w:r>
              <w:rPr>
                <w:b/>
              </w:rPr>
              <w:t>DINE BRANDS GLOBAL, INC.</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Vance Y. Chang</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Vance Y. Chang</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744</Words>
  <Characters>4203</Characters>
  <CharactersWithSpaces>5054</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