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654d8k.htm"/>
      <w:bookmarkStart w:id="1" w:name="ksd1765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Dine Brands Global,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001-15283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95-3038279</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 West Walnut Street, 5th Floor,</w:t>
            </w:r>
          </w:p>
          <w:p>
            <w:pPr>
              <w:pStyle w:val="TableContents"/>
              <w:bidi w:val="0"/>
              <w:spacing w:before="0" w:after="20"/>
              <w:jc w:val="center"/>
              <w:rPr>
                <w:rFonts w:ascii="Times New Roman" w:hAnsi="Times New Roman"/>
                <w:b/>
                <w:sz w:val="20"/>
              </w:rPr>
            </w:pPr>
            <w:r>
              <w:rPr>
                <w:rFonts w:ascii="Times New Roman" w:hAnsi="Times New Roman"/>
                <w:b/>
                <w:sz w:val="20"/>
              </w:rPr>
              <w:t>Pasadena,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91103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(818) 240-6055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3065"/>
        <w:gridCol w:w="60"/>
        <w:gridCol w:w="710"/>
        <w:gridCol w:w="60"/>
        <w:gridCol w:w="2660"/>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065"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DIN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2026, Dine Brands Global, Inc. (the “Corporation”) issued a press release announcing that the Board of Directors of the Corporation declared a third quarter 2026 cash dividend of $0.19 per share of common stock, payable on October 9, 2026, to the Corporation’s stockholders of record as of the close of business on September 16, 2026. A copy of the press release is attached hereto as Exhibit 99.1 and is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890"/>
        <w:gridCol w:w="120"/>
        <w:gridCol w:w="768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7654dex991.htm">
              <w:r>
                <w:rPr>
                  <w:rStyle w:val="InternetLink"/>
                </w:rPr>
                <w:t xml:space="preserve">Press Release issued by the Corporation on September 4,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903" w:type="dxa"/>
        <w:jc w:val="left"/>
        <w:tblInd w:w="0" w:type="dxa"/>
        <w:tblLayout w:type="fixed"/>
        <w:tblCellMar>
          <w:top w:w="0" w:type="dxa"/>
          <w:left w:w="0" w:type="dxa"/>
          <w:bottom w:w="0" w:type="dxa"/>
          <w:right w:w="0" w:type="dxa"/>
        </w:tblCellMar>
      </w:tblPr>
      <w:tblGrid>
        <w:gridCol w:w="749"/>
        <w:gridCol w:w="1184"/>
        <w:gridCol w:w="456"/>
        <w:gridCol w:w="60"/>
        <w:gridCol w:w="543"/>
        <w:gridCol w:w="89"/>
        <w:gridCol w:w="2822"/>
      </w:tblGrid>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pPr>
            <w:r>
              <w:rPr/>
              <w:t>Date: September 4, 2026</w:t>
            </w:r>
          </w:p>
        </w:tc>
        <w:tc>
          <w:tcPr>
            <w:tcW w:w="60"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b/>
              </w:rPr>
            </w:pPr>
            <w:r>
              <w:rPr>
                <w:b/>
              </w:rPr>
              <w:t>DINE BRANDS GLOBAL, INC.</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603" w:type="dxa"/>
            <w:gridSpan w:val="2"/>
            <w:tcBorders/>
            <w:vAlign w:val="center"/>
          </w:tcPr>
          <w:p>
            <w:pPr>
              <w:pStyle w:val="TableContents"/>
              <w:bidi w:val="0"/>
              <w:spacing w:before="0" w:after="283"/>
              <w:jc w:val="left"/>
              <w:rPr>
                <w:sz w:val="4"/>
                <w:szCs w:val="4"/>
              </w:rPr>
            </w:pPr>
            <w:r>
              <w:rPr>
                <w:sz w:val="4"/>
                <w:szCs w:val="4"/>
              </w:rPr>
            </w:r>
          </w:p>
        </w:tc>
        <w:tc>
          <w:tcPr>
            <w:tcW w:w="2911"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By:</w:t>
            </w:r>
          </w:p>
        </w:tc>
        <w:tc>
          <w:tcPr>
            <w:tcW w:w="89" w:type="dxa"/>
            <w:tcBorders/>
            <w:vAlign w:val="center"/>
          </w:tcPr>
          <w:p>
            <w:pPr>
              <w:pStyle w:val="TableContents"/>
              <w:bidi w:val="0"/>
              <w:spacing w:before="0" w:after="283"/>
              <w:jc w:val="left"/>
              <w:rPr/>
            </w:pPr>
            <w:r>
              <w:rPr/>
              <w:t> </w:t>
            </w:r>
          </w:p>
        </w:tc>
        <w:tc>
          <w:tcPr>
            <w:tcW w:w="282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Vance Y. Chang</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pPr>
            <w:r>
              <w:rPr/>
              <w:t> </w:t>
            </w:r>
          </w:p>
        </w:tc>
        <w:tc>
          <w:tcPr>
            <w:tcW w:w="28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Vance Y. Chang</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right"/>
        <w:rPr>
          <w:rFonts w:ascii="Times New Roman" w:hAnsi="Times New Roman"/>
          <w:b/>
          <w:sz w:val="20"/>
        </w:rPr>
      </w:pPr>
      <w:bookmarkStart w:id="2" w:name="d17654dex991.htm"/>
      <w:bookmarkStart w:id="3" w:name="ksd1765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29552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5525" cy="704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News Release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Investor Contact </w:t>
      </w:r>
    </w:p>
    <w:p>
      <w:pPr>
        <w:pStyle w:val="TextBody"/>
        <w:bidi w:val="0"/>
        <w:spacing w:before="0" w:after="0"/>
        <w:jc w:val="right"/>
        <w:rPr>
          <w:rFonts w:ascii="Times New Roman" w:hAnsi="Times New Roman"/>
          <w:sz w:val="20"/>
        </w:rPr>
      </w:pPr>
      <w:r>
        <w:rPr>
          <w:rFonts w:ascii="Times New Roman" w:hAnsi="Times New Roman"/>
          <w:sz w:val="20"/>
        </w:rPr>
        <w:t xml:space="preserve">Matt Lee </w:t>
      </w:r>
    </w:p>
    <w:p>
      <w:pPr>
        <w:pStyle w:val="TextBody"/>
        <w:bidi w:val="0"/>
        <w:spacing w:before="0" w:after="0"/>
        <w:jc w:val="right"/>
        <w:rPr>
          <w:rFonts w:ascii="Times New Roman" w:hAnsi="Times New Roman"/>
          <w:sz w:val="20"/>
        </w:rPr>
      </w:pPr>
      <w:r>
        <w:rPr>
          <w:rFonts w:ascii="Times New Roman" w:hAnsi="Times New Roman"/>
          <w:sz w:val="20"/>
        </w:rPr>
        <w:t xml:space="preserve">Sr. Vice President, Finance and Investor Relations </w:t>
      </w:r>
    </w:p>
    <w:p>
      <w:pPr>
        <w:pStyle w:val="TextBody"/>
        <w:bidi w:val="0"/>
        <w:spacing w:before="0" w:after="0"/>
        <w:jc w:val="right"/>
        <w:rPr>
          <w:rFonts w:ascii="Times New Roman" w:hAnsi="Times New Roman"/>
          <w:sz w:val="20"/>
        </w:rPr>
      </w:pPr>
      <w:r>
        <w:rPr>
          <w:rFonts w:ascii="Times New Roman" w:hAnsi="Times New Roman"/>
          <w:sz w:val="20"/>
        </w:rPr>
        <w:t xml:space="preserve">Dine Brands Global, Inc. </w:t>
      </w:r>
    </w:p>
    <w:p>
      <w:pPr>
        <w:pStyle w:val="TextBody"/>
        <w:bidi w:val="0"/>
        <w:spacing w:before="0" w:after="0"/>
        <w:jc w:val="right"/>
        <w:rPr>
          <w:rFonts w:ascii="Times New Roman" w:hAnsi="Times New Roman"/>
          <w:sz w:val="20"/>
        </w:rPr>
      </w:pPr>
      <w:r>
        <w:rPr>
          <w:rFonts w:ascii="Times New Roman" w:hAnsi="Times New Roman"/>
          <w:sz w:val="20"/>
        </w:rPr>
        <w:t xml:space="preserve">IR@dinebrands.com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Media Contact </w:t>
      </w:r>
    </w:p>
    <w:p>
      <w:pPr>
        <w:pStyle w:val="TextBody"/>
        <w:bidi w:val="0"/>
        <w:spacing w:before="0" w:after="0"/>
        <w:jc w:val="right"/>
        <w:rPr>
          <w:rFonts w:ascii="Times New Roman" w:hAnsi="Times New Roman"/>
          <w:sz w:val="20"/>
        </w:rPr>
      </w:pPr>
      <w:r>
        <w:rPr>
          <w:rFonts w:ascii="Times New Roman" w:hAnsi="Times New Roman"/>
          <w:sz w:val="20"/>
        </w:rPr>
        <w:t xml:space="preserve">Susan Nelson </w:t>
      </w:r>
    </w:p>
    <w:p>
      <w:pPr>
        <w:pStyle w:val="TextBody"/>
        <w:bidi w:val="0"/>
        <w:spacing w:before="0" w:after="0"/>
        <w:jc w:val="right"/>
        <w:rPr>
          <w:rFonts w:ascii="Times New Roman" w:hAnsi="Times New Roman"/>
          <w:sz w:val="20"/>
        </w:rPr>
      </w:pPr>
      <w:r>
        <w:rPr>
          <w:rFonts w:ascii="Times New Roman" w:hAnsi="Times New Roman"/>
          <w:sz w:val="20"/>
        </w:rPr>
        <w:t xml:space="preserve">Sr. Vice President, Global Communications </w:t>
      </w:r>
    </w:p>
    <w:p>
      <w:pPr>
        <w:pStyle w:val="TextBody"/>
        <w:bidi w:val="0"/>
        <w:spacing w:before="0" w:after="0"/>
        <w:jc w:val="right"/>
        <w:rPr>
          <w:rFonts w:ascii="Times New Roman" w:hAnsi="Times New Roman"/>
          <w:sz w:val="20"/>
        </w:rPr>
      </w:pPr>
      <w:r>
        <w:rPr>
          <w:rFonts w:ascii="Times New Roman" w:hAnsi="Times New Roman"/>
          <w:sz w:val="20"/>
        </w:rPr>
        <w:t xml:space="preserve">Dine Brands Global, Inc. </w:t>
      </w:r>
    </w:p>
    <w:p>
      <w:pPr>
        <w:pStyle w:val="TextBody"/>
        <w:bidi w:val="0"/>
        <w:spacing w:before="0" w:after="0"/>
        <w:jc w:val="right"/>
        <w:rPr>
          <w:rFonts w:ascii="Times New Roman" w:hAnsi="Times New Roman"/>
          <w:sz w:val="20"/>
        </w:rPr>
      </w:pPr>
      <w:r>
        <w:rPr>
          <w:rFonts w:ascii="Times New Roman" w:hAnsi="Times New Roman"/>
          <w:sz w:val="20"/>
        </w:rPr>
        <w:t xml:space="preserve">Mediainquiries@dinebrands.com </w:t>
      </w:r>
    </w:p>
    <w:p>
      <w:pPr>
        <w:pStyle w:val="TextBody"/>
        <w:bidi w:val="0"/>
        <w:spacing w:before="480" w:after="0"/>
        <w:jc w:val="center"/>
        <w:rPr>
          <w:rFonts w:ascii="Times New Roman" w:hAnsi="Times New Roman"/>
          <w:b/>
          <w:sz w:val="20"/>
        </w:rPr>
      </w:pPr>
      <w:r>
        <w:rPr>
          <w:rFonts w:ascii="Times New Roman" w:hAnsi="Times New Roman"/>
          <w:b/>
          <w:sz w:val="20"/>
        </w:rPr>
        <w:t xml:space="preserve">Dine Brands Global, Inc. Announces Third Quarter 2026 Dividend </w:t>
      </w:r>
    </w:p>
    <w:p>
      <w:pPr>
        <w:pStyle w:val="TextBody"/>
        <w:bidi w:val="0"/>
        <w:spacing w:before="240" w:after="0"/>
        <w:jc w:val="left"/>
        <w:rPr>
          <w:rFonts w:ascii="Times New Roman" w:hAnsi="Times New Roman"/>
          <w:sz w:val="20"/>
        </w:rPr>
      </w:pPr>
      <w:r>
        <w:rPr>
          <w:rFonts w:ascii="Times New Roman" w:hAnsi="Times New Roman"/>
          <w:b/>
          <w:sz w:val="20"/>
        </w:rPr>
        <w:t>Pasadena, Calif., September</w:t>
      </w:r>
      <w:r>
        <w:rPr>
          <w:rFonts w:ascii="Times New Roman" w:hAnsi="Times New Roman"/>
          <w:sz w:val="20"/>
        </w:rPr>
        <w:t> </w:t>
      </w:r>
      <w:r>
        <w:rPr>
          <w:rFonts w:ascii="Times New Roman" w:hAnsi="Times New Roman"/>
          <w:b/>
          <w:sz w:val="20"/>
        </w:rPr>
        <w:t xml:space="preserve">4, 2026 </w:t>
      </w:r>
      <w:r>
        <w:rPr>
          <w:rFonts w:ascii="Times New Roman" w:hAnsi="Times New Roman"/>
          <w:sz w:val="20"/>
        </w:rPr>
        <w:t xml:space="preserve">– Dine Brands Global, Inc. (NYSE: DIN), the parent company of Applebee’s Neighborhood Grill + Bar®, IHOP® and Fuzzy’s Taco Shop® restaurants, today announced that its Board of Directors declared a quarterly cash dividend of $0.19 per share of common stock. The dividend will be payable on October 9, 2026 to the Company’s stockholders of record at the close of business on September 16,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Dine Brands Global, Inc. </w:t>
      </w:r>
    </w:p>
    <w:p>
      <w:pPr>
        <w:pStyle w:val="TextBody"/>
        <w:bidi w:val="0"/>
        <w:spacing w:before="120" w:after="0"/>
        <w:jc w:val="left"/>
        <w:rPr>
          <w:rFonts w:ascii="Times New Roman" w:hAnsi="Times New Roman"/>
          <w:sz w:val="20"/>
        </w:rPr>
      </w:pPr>
      <w:r>
        <w:rPr>
          <w:rFonts w:ascii="Times New Roman" w:hAnsi="Times New Roman"/>
          <w:sz w:val="20"/>
        </w:rPr>
        <w:t xml:space="preserve">Based in Pasadena, California, Dine Brands Global, Inc. (NYSE: DIN), through its subsidiaries and franchisees, supports and operates restaurants under the Applebee’s Neighborhood Grill + Bar®, IHOP®, and Fuzzy’s Taco Shop® brands. As of June 28, 2026, these three brands comprised nearly 3,500 restaurants. Dine Brands is one of the largest full-service restaurant companies in the world and in 2022 expanded into the Fast Casual segment. For more information on Dine Brands, visit the Company’s website located at </w:t>
      </w:r>
      <w:r>
        <w:rPr>
          <w:rFonts w:ascii="Times New Roman" w:hAnsi="Times New Roman"/>
          <w:sz w:val="20"/>
          <w:u w:val="single"/>
        </w:rPr>
        <w:t>www.dinebrands.com.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1 of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press release may constitute “forward-looking statements” within the meaning of Section 27A of the Securities Act of 1933, as amended, and Section 21E of the Securities Exchange Act of 1934, as amended. You can identify these forward-looking statements by words such as “may,” “will,” “would,” “should,” “could,” “expect,” “anticipate,” “believe,” “estimate,” “intend,” “plan,” “goal” and other similar expressions. 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on us and our franchisees directly; cost pressures, including rising costs for commodities, labor, health care and utilities; our level of indebtedness; compliance with the terms of our securitized debt; our ability to refinance our current indebtedness or obtain additional financing; our Odependence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shares;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the implementation and use of artificial intelligence and related technologies;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Company’s Annual and Quarterly Reports on Forms 10-K and 10-Q and in the Company’s other filings with the Securities and Exchange Commission. The forward-looking statements contained in this press release are made as of the date hereof and the Company does not intend to, nor does it assume any obligation to, update or supplement any forward-looking statements after the date hereof to reflect actual results or future events or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FBN-R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2 of 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1268</Words>
  <Characters>7361</Characters>
  <CharactersWithSpaces>8623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