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Clark Amanda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WEST WALNUT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PASADENA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Dine Brands Global, Inc.</w:t>
              </w:r>
            </w:hyperlink>
            <w:r>
              <w:rPr/>
              <w:t xml:space="preserve"> [ </w:t>
            </w:r>
            <w:r>
              <w:rPr>
                <w:rFonts w:ascii="Times;serif" w:hAnsi="Times;serif"/>
                <w:color w:val="0000FF"/>
                <w:sz w:val="24"/>
                <w:shd w:fill="FFFFFF" w:val="clear"/>
              </w:rPr>
              <w:t>DIN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9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711"/>
        <w:gridCol w:w="276"/>
        <w:gridCol w:w="906"/>
        <w:gridCol w:w="801"/>
        <w:gridCol w:w="891"/>
        <w:gridCol w:w="801"/>
        <w:gridCol w:w="801"/>
        <w:gridCol w:w="96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17.451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17.451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3,297.401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dividend equivalent right is the economic equivalent of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dividend equivalent rights that accrued on the underlying award of restricted stock units. Dividend equivalent rights accrue when and as dividends are paid on the common stock underlying the applicable restricted stock units and vest proportionately with and are subject to settlement and expiration upon the same terms as the restricted stock units to which they relate.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Christine K. Son as attorney-in-fact for Amanda Clark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3297" TargetMode="External"/><Relationship Id="rId5" Type="http://schemas.openxmlformats.org/officeDocument/2006/relationships/hyperlink" Target="http://www.sec.gov/cgi-bin/browse-edgar?action=getcompany&amp;CIK=00000497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3519</Characters>
  <CharactersWithSpaces>4103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